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7385"/>
      </w:tblGrid>
      <w:tr w:rsidR="0036253B" w:rsidRPr="0036253B" w:rsidTr="0036253B">
        <w:trPr>
          <w:tblCellSpacing w:w="15" w:type="dxa"/>
        </w:trPr>
        <w:tc>
          <w:tcPr>
            <w:tcW w:w="0" w:type="auto"/>
            <w:vAlign w:val="center"/>
            <w:hideMark/>
          </w:tcPr>
          <w:p w:rsidR="0036253B" w:rsidRPr="0036253B" w:rsidRDefault="0036253B" w:rsidP="0036253B">
            <w:pPr>
              <w:jc w:val="both"/>
            </w:pPr>
            <w:bookmarkStart w:id="0" w:name="_GoBack"/>
            <w:bookmarkEnd w:id="0"/>
          </w:p>
        </w:tc>
        <w:tc>
          <w:tcPr>
            <w:tcW w:w="0" w:type="auto"/>
            <w:vAlign w:val="center"/>
            <w:hideMark/>
          </w:tcPr>
          <w:p w:rsidR="0036253B" w:rsidRPr="0036253B" w:rsidRDefault="0036253B" w:rsidP="0036253B">
            <w:pPr>
              <w:jc w:val="both"/>
            </w:pPr>
            <w:r w:rsidRPr="0036253B">
              <w:t>Prof. Dr. Detlev Sternberg-Lieben und Wiss. Mitarbeiterin Irene Sternberg-Lieben</w:t>
            </w:r>
            <w:r w:rsidRPr="0036253B">
              <w:rPr>
                <w:vertAlign w:val="superscript"/>
              </w:rPr>
              <w:t>*</w:t>
            </w:r>
          </w:p>
          <w:p w:rsidR="0036253B" w:rsidRPr="0036253B" w:rsidRDefault="0036253B" w:rsidP="0036253B">
            <w:pPr>
              <w:jc w:val="both"/>
              <w:rPr>
                <w:b/>
              </w:rPr>
            </w:pPr>
            <w:r w:rsidRPr="0036253B">
              <w:rPr>
                <w:b/>
              </w:rPr>
              <w:t>JuS 2012, 976</w:t>
            </w:r>
          </w:p>
        </w:tc>
      </w:tr>
    </w:tbl>
    <w:p w:rsidR="0036253B" w:rsidRPr="0036253B" w:rsidRDefault="0036253B" w:rsidP="0036253B">
      <w:pPr>
        <w:jc w:val="both"/>
        <w:rPr>
          <w:b/>
          <w:bCs/>
        </w:rPr>
      </w:pPr>
      <w:r w:rsidRPr="0036253B">
        <w:rPr>
          <w:b/>
          <w:bCs/>
        </w:rPr>
        <w:t>Vorsatz im Strafrecht</w:t>
      </w:r>
    </w:p>
    <w:p w:rsidR="0036253B" w:rsidRPr="0036253B" w:rsidRDefault="0036253B" w:rsidP="0036253B">
      <w:pPr>
        <w:jc w:val="both"/>
      </w:pPr>
      <w:r w:rsidRPr="0036253B">
        <w:t>Nachdem im ersten Teil des Beitrags die Bezugspunkte des Vorsatzes beschrieben wurden, werden in diesem Heft die verschiedenen Formen des Vorsatzes ebenso behandelt wie die Intensität des zu fordernden Täter-Wissens sowie der Zeitpunkt, zu dem der Täter-Vorsatz vorliegen muss.</w:t>
      </w:r>
    </w:p>
    <w:p w:rsidR="0036253B" w:rsidRPr="0036253B" w:rsidRDefault="0036253B" w:rsidP="0036253B">
      <w:pPr>
        <w:jc w:val="both"/>
        <w:rPr>
          <w:b/>
          <w:bCs/>
        </w:rPr>
      </w:pPr>
      <w:r w:rsidRPr="0036253B">
        <w:rPr>
          <w:b/>
          <w:bCs/>
        </w:rPr>
        <w:t>IV. Vorsatz-Formen</w:t>
      </w:r>
    </w:p>
    <w:p w:rsidR="0036253B" w:rsidRPr="0036253B" w:rsidRDefault="0036253B" w:rsidP="0036253B">
      <w:pPr>
        <w:jc w:val="both"/>
        <w:rPr>
          <w:b/>
          <w:bCs/>
        </w:rPr>
      </w:pPr>
      <w:r w:rsidRPr="0036253B">
        <w:rPr>
          <w:b/>
          <w:bCs/>
        </w:rPr>
        <w:t>1. Notwendigkeit des Willenselements</w:t>
      </w:r>
    </w:p>
    <w:p w:rsidR="0036253B" w:rsidRPr="0036253B" w:rsidRDefault="0036253B" w:rsidP="0036253B">
      <w:pPr>
        <w:jc w:val="both"/>
      </w:pPr>
      <w:r w:rsidRPr="0036253B">
        <w:t>Im Gegenschluss aus § 16 I ergibt sich nur das Erfordernis des „Wissens“ (</w:t>
      </w:r>
      <w:r w:rsidRPr="0036253B">
        <w:rPr>
          <w:i/>
          <w:iCs/>
        </w:rPr>
        <w:t>kognitives Element</w:t>
      </w:r>
      <w:r w:rsidRPr="0036253B">
        <w:t xml:space="preserve"> des Vorsatzes), ohne dass hierin ein „beredtes Schweigen“ des Gesetzgebers liegt</w:t>
      </w:r>
      <w:r w:rsidRPr="0036253B">
        <w:rPr>
          <w:vertAlign w:val="superscript"/>
        </w:rPr>
        <w:t>1</w:t>
      </w:r>
      <w:r w:rsidRPr="0036253B">
        <w:t>. Die Frage, ob darüber hinaus zur Annahme des Tätervorsatzes auch ein Willenselement (</w:t>
      </w:r>
      <w:r w:rsidRPr="0036253B">
        <w:rPr>
          <w:i/>
          <w:iCs/>
        </w:rPr>
        <w:t>voluntatives Element</w:t>
      </w:r>
      <w:r w:rsidRPr="0036253B">
        <w:t xml:space="preserve">) zu fordern ist, wird hiermit nicht beantwortet. Diese Frage wird hauptsächlich im Zusammenhang mit der Abgrenzung von </w:t>
      </w:r>
      <w:r w:rsidRPr="0036253B">
        <w:rPr>
          <w:i/>
          <w:iCs/>
        </w:rPr>
        <w:t>dolus eventualis</w:t>
      </w:r>
      <w:r w:rsidRPr="0036253B">
        <w:t xml:space="preserve"> und bewusster Fahrlässigkeit diskutiert; sie soll aber hier sozusagen vor die Klammer gezogen werden, da die Entscheidung hierzu auch die Anforderungen bestimmt, die an die Absicht (</w:t>
      </w:r>
      <w:r w:rsidRPr="0036253B">
        <w:rPr>
          <w:i/>
          <w:iCs/>
        </w:rPr>
        <w:t>dolus directus ersten Grades</w:t>
      </w:r>
      <w:r w:rsidRPr="0036253B">
        <w:t>) zu stellen sind.</w:t>
      </w:r>
    </w:p>
    <w:p w:rsidR="0036253B" w:rsidRPr="0036253B" w:rsidRDefault="0036253B" w:rsidP="0036253B">
      <w:pPr>
        <w:jc w:val="both"/>
      </w:pPr>
      <w:r w:rsidRPr="0036253B">
        <w:rPr>
          <w:i/>
          <w:iCs/>
        </w:rPr>
        <w:t>Beispiel: A</w:t>
      </w:r>
      <w:r w:rsidRPr="0036253B">
        <w:t xml:space="preserve"> will den </w:t>
      </w:r>
      <w:r w:rsidRPr="0036253B">
        <w:rPr>
          <w:i/>
          <w:iCs/>
        </w:rPr>
        <w:t>O</w:t>
      </w:r>
      <w:r w:rsidRPr="0036253B">
        <w:t xml:space="preserve"> auf jeden Fall töten; in dieser Intention gibt er aus der Ferne mehrere Gewehrschüsse auf </w:t>
      </w:r>
      <w:r w:rsidRPr="0036253B">
        <w:rPr>
          <w:i/>
          <w:iCs/>
        </w:rPr>
        <w:t>O</w:t>
      </w:r>
      <w:r w:rsidRPr="0036253B">
        <w:t xml:space="preserve"> ab, wobei </w:t>
      </w:r>
      <w:r w:rsidRPr="0036253B">
        <w:rPr>
          <w:i/>
          <w:iCs/>
        </w:rPr>
        <w:t>A</w:t>
      </w:r>
      <w:r w:rsidRPr="0036253B">
        <w:t xml:space="preserve"> angesichts seiner Sehschwäche und der erheblichen Entfernung die Tötung des </w:t>
      </w:r>
      <w:r w:rsidRPr="0036253B">
        <w:rPr>
          <w:i/>
          <w:iCs/>
        </w:rPr>
        <w:t>O</w:t>
      </w:r>
      <w:r w:rsidRPr="0036253B">
        <w:t xml:space="preserve"> allerdings für eher unwahrscheinlich, aber immerhin doch noch für möglich hält: Wer zur Annahme vorsätzlichen Handelns allein auf das kognitive Element abstellt und hierfür ein erhöhtes Gefahrenbewusstsein verlangt, der dürfte vorliegend den Tötungsvorsatz zu verneinen haben</w:t>
      </w:r>
      <w:r w:rsidRPr="0036253B">
        <w:rPr>
          <w:vertAlign w:val="superscript"/>
        </w:rPr>
        <w:t>2</w:t>
      </w:r>
      <w:r w:rsidRPr="0036253B">
        <w:t>, während auf Basis der auch hier verfochtenen h. M. infolge des im Fall der Absicht gesteigerten Willenselementes lediglich ein Für-möglich-Halten des Tötungserfolgs genügt</w:t>
      </w:r>
      <w:r w:rsidRPr="0036253B">
        <w:rPr>
          <w:vertAlign w:val="superscript"/>
        </w:rPr>
        <w:t>3</w:t>
      </w:r>
      <w:r w:rsidRPr="0036253B">
        <w:t xml:space="preserve">, so dass </w:t>
      </w:r>
      <w:r w:rsidRPr="0036253B">
        <w:rPr>
          <w:i/>
          <w:iCs/>
        </w:rPr>
        <w:t>A</w:t>
      </w:r>
      <w:r w:rsidRPr="0036253B">
        <w:t xml:space="preserve"> schuldangemessen aus §§ 211, 212 bestraft werden kann. </w:t>
      </w:r>
    </w:p>
    <w:p w:rsidR="0036253B" w:rsidRPr="0036253B" w:rsidRDefault="0036253B" w:rsidP="0036253B">
      <w:pPr>
        <w:jc w:val="both"/>
      </w:pPr>
      <w:r w:rsidRPr="0036253B">
        <w:t>Abgesehen davon, dass schon ein vorjuristisches Verständnis der Begriffe Vorsatz und Fahrlässigkeit nahelegt</w:t>
      </w:r>
      <w:r w:rsidRPr="0036253B">
        <w:rPr>
          <w:vertAlign w:val="superscript"/>
        </w:rPr>
        <w:t>4</w:t>
      </w:r>
      <w:r w:rsidRPr="0036253B">
        <w:t>, das Besondere des Vorsatzes im Willen zur Verwirklichung der objektiven Tatbestandsmerkmale zu sehen</w:t>
      </w:r>
      <w:r w:rsidRPr="0036253B">
        <w:rPr>
          <w:vertAlign w:val="superscript"/>
        </w:rPr>
        <w:t>5</w:t>
      </w:r>
      <w:r w:rsidRPr="0036253B">
        <w:t>, legitimiert sich das voluntative Vorsatzelement aus folgender Überlegung: Die strengere Bestrafung vorsätzlichen Handelns findet ihren Grund darin, dass der Täter sich bewusst gegen das Rechtsgut entschieden hat</w:t>
      </w:r>
      <w:r w:rsidRPr="0036253B">
        <w:rPr>
          <w:vertAlign w:val="superscript"/>
        </w:rPr>
        <w:t>6</w:t>
      </w:r>
      <w:r w:rsidRPr="0036253B">
        <w:t>; das Wesen einer solchen Entscheidung kann aber allein durch die Berücksichtigung des Täterwissens nicht angemessen erfasst werden, sondern wird vom „Wollen“ mitgeprägt</w:t>
      </w:r>
      <w:r w:rsidRPr="0036253B">
        <w:rPr>
          <w:vertAlign w:val="superscript"/>
        </w:rPr>
        <w:t>7</w:t>
      </w:r>
      <w:r w:rsidRPr="0036253B">
        <w:t>. Außerdem würde ein Verzicht auf das Willenselement mit seinem Potenzial</w:t>
      </w:r>
      <w:r w:rsidRPr="0036253B">
        <w:rPr>
          <w:vertAlign w:val="superscript"/>
        </w:rPr>
        <w:t>8</w:t>
      </w:r>
      <w:r w:rsidRPr="0036253B">
        <w:t xml:space="preserve"> zur Restriktion des Vorsatzstrafbereichs die Gefahr mit sich bringen, die Grenze zwischen äußerst leichtsinnigen Verhaltensweisen (etwa im Straßenverkehr) und schon vorsätzlichem Handeln zu Lasten des Fahrlässigkeitsbereichs zu verschieben</w:t>
      </w:r>
      <w:r w:rsidRPr="0036253B">
        <w:rPr>
          <w:vertAlign w:val="superscript"/>
        </w:rPr>
        <w:t>9</w:t>
      </w:r>
      <w:r w:rsidRPr="0036253B">
        <w:t xml:space="preserve">. Ohne innere Stellungnahme zum erkannten Risiko liegt eine Entscheidung gegen das Rechtsgut aber noch nicht vor; mit </w:t>
      </w:r>
      <w:proofErr w:type="spellStart"/>
      <w:r w:rsidRPr="0036253B">
        <w:rPr>
          <w:i/>
          <w:iCs/>
        </w:rPr>
        <w:t>Stratenwerth</w:t>
      </w:r>
      <w:proofErr w:type="spellEnd"/>
      <w:r w:rsidRPr="0036253B">
        <w:rPr>
          <w:i/>
          <w:iCs/>
        </w:rPr>
        <w:t>/Kuhlen</w:t>
      </w:r>
      <w:r w:rsidRPr="0036253B">
        <w:t>: „Die Vorsatz genannte Intention läuft dem Recht unmittelbar zuwider, bloße Fahrlässigkeit nicht“</w:t>
      </w:r>
      <w:r w:rsidRPr="0036253B">
        <w:rPr>
          <w:vertAlign w:val="superscript"/>
        </w:rPr>
        <w:t>10</w:t>
      </w:r>
      <w:r w:rsidRPr="0036253B">
        <w:t>. Inhaltlich darf diese Willensbeziehung jedoch nicht als – ggf. ja für die Strafzumessung erhebliche – gefühlsmäßige Einstellung des Täters zu seiner Tat missverstanden werden</w:t>
      </w:r>
      <w:r w:rsidRPr="0036253B">
        <w:rPr>
          <w:vertAlign w:val="superscript"/>
        </w:rPr>
        <w:t>11</w:t>
      </w:r>
      <w:r w:rsidRPr="0036253B">
        <w:t>. So setzt Vorsatz nicht voraus, dass der Täter die Folgen der Tat gutheißt oder ihm diese auch nur erwünscht seien.</w:t>
      </w:r>
    </w:p>
    <w:p w:rsidR="0036253B" w:rsidRPr="0036253B" w:rsidRDefault="0036253B" w:rsidP="0036253B">
      <w:pPr>
        <w:jc w:val="both"/>
      </w:pPr>
      <w:r w:rsidRPr="0036253B">
        <w:t>Je nach Ausprägung der Willens- sowie Wissensbeziehung des Täters zur Tatbestandsverwirklichung sind verschiedene Arten des Vorsatzes zu unterscheiden</w:t>
      </w:r>
      <w:r w:rsidRPr="0036253B">
        <w:rPr>
          <w:vertAlign w:val="superscript"/>
        </w:rPr>
        <w:t>12</w:t>
      </w:r>
      <w:r w:rsidRPr="0036253B">
        <w:t xml:space="preserve">. Hierbei ist zu beachten, dass für die Mehrzahl der Delikte des StGB die Frage, welche der drei noch vorzustellenden Vorsatzformen vorliegt, für die Tatbestandsmäßigkeit des Verhaltens nicht relevant ist: Sofern das Strafgesetz nicht (etwa durch </w:t>
      </w:r>
      <w:r w:rsidRPr="0036253B">
        <w:lastRenderedPageBreak/>
        <w:t>die Formulierung „absichtlich oder wissentlich“: § 145) vorgibt, dass eine bestimmte Form des Vorsatzes erforderlich ist, verwirklicht auch ein Handeln mit Eventualvorsatz den Tatbestand (etwa bei § 212)</w:t>
      </w:r>
      <w:r w:rsidRPr="0036253B">
        <w:rPr>
          <w:vertAlign w:val="superscript"/>
        </w:rPr>
        <w:t>13</w:t>
      </w:r>
      <w:r w:rsidRPr="0036253B">
        <w:t>; eine nähere Thematisierung der Vorsatzformen im Fallgutachten wäre dann verfehlt</w:t>
      </w:r>
      <w:r w:rsidRPr="0036253B">
        <w:rPr>
          <w:vertAlign w:val="superscript"/>
        </w:rPr>
        <w:t>14</w:t>
      </w:r>
      <w:r w:rsidRPr="0036253B">
        <w:t>.</w:t>
      </w:r>
    </w:p>
    <w:p w:rsidR="0036253B" w:rsidRPr="0036253B" w:rsidRDefault="0036253B" w:rsidP="0036253B">
      <w:pPr>
        <w:jc w:val="both"/>
      </w:pPr>
      <w:r w:rsidRPr="0036253B">
        <w:t>977</w:t>
      </w:r>
    </w:p>
    <w:p w:rsidR="0036253B" w:rsidRPr="0036253B" w:rsidRDefault="0036253B" w:rsidP="0036253B">
      <w:pPr>
        <w:ind w:left="720"/>
        <w:jc w:val="both"/>
        <w:rPr>
          <w:b/>
          <w:bCs/>
        </w:rPr>
      </w:pPr>
      <w:r w:rsidRPr="0036253B">
        <w:rPr>
          <w:b/>
          <w:bCs/>
        </w:rPr>
        <w:t xml:space="preserve">2. Absicht (dolus directus ersten Grades) </w:t>
      </w:r>
    </w:p>
    <w:p w:rsidR="0036253B" w:rsidRPr="0036253B" w:rsidRDefault="0036253B" w:rsidP="0036253B">
      <w:pPr>
        <w:jc w:val="both"/>
      </w:pPr>
      <w:r w:rsidRPr="0036253B">
        <w:t>Die stärkste Ausprägung des Willenselements im Sinne eines besonders intensiven Wollens</w:t>
      </w:r>
      <w:r w:rsidRPr="0036253B">
        <w:rPr>
          <w:vertAlign w:val="superscript"/>
        </w:rPr>
        <w:t>15</w:t>
      </w:r>
      <w:r w:rsidRPr="0036253B">
        <w:t xml:space="preserve"> ist für die Vorsatzform der Absicht erforderlich: Der Täter muss mit zielgerichtetem Erfolgswillen (in dem Sinne, dass es ihm auf die Herbeiführung des Erfolgs ankam) gehandelt haben</w:t>
      </w:r>
      <w:r w:rsidRPr="0036253B">
        <w:rPr>
          <w:vertAlign w:val="superscript"/>
        </w:rPr>
        <w:t>16</w:t>
      </w:r>
      <w:r w:rsidRPr="0036253B">
        <w:t>.</w:t>
      </w:r>
    </w:p>
    <w:p w:rsidR="0036253B" w:rsidRPr="0036253B" w:rsidRDefault="0036253B" w:rsidP="0036253B">
      <w:pPr>
        <w:jc w:val="both"/>
      </w:pPr>
      <w:r w:rsidRPr="0036253B">
        <w:rPr>
          <w:i/>
          <w:iCs/>
        </w:rPr>
        <w:t>Beispiel</w:t>
      </w:r>
      <w:r w:rsidRPr="0036253B">
        <w:t xml:space="preserve"> zu § 303: Bricht der Täter ein wertvolles Behältnis auf, um sich dessen Inhalt zuzueignen, so handelt er hinsichtlich der Beschädigung des Behältnisses absichtlich, und zwar auch dann, wenn ihm dies als Antiquitätenliebhaber durchaus unerwünscht ist. Weiß der Täter nämlich, dass er sein erstrebtes Endziel (Zueignung des Inhalts) nur über eine „ungewünschte“ Zwischenfolge erzielen kann, so erstrebt er diese als notwendigen Zwischenschritt. Der erstrebte Erfolg muss also weder das Endziel noch der überwiegend oder gar einzig angestrebte Erfolg sein; auch ein neben einem anderen Ziel angestrebter Nebenzweck sowie ein als Mittel zu einem anderen Zweck angestrebtes Ziel (notwendiges Zwischenziel) genügt</w:t>
      </w:r>
      <w:r w:rsidRPr="0036253B">
        <w:rPr>
          <w:vertAlign w:val="superscript"/>
        </w:rPr>
        <w:t>17</w:t>
      </w:r>
      <w:r w:rsidRPr="0036253B">
        <w:t>. – Entsprechend handelt auch derjenige in Tötungsabsicht, der den von ihm „eigentlich“ hochgeschätzten Erblasser tötet, um vorzeitig die Erbschaft zu erlangen.</w:t>
      </w:r>
    </w:p>
    <w:p w:rsidR="0036253B" w:rsidRPr="0036253B" w:rsidRDefault="0036253B" w:rsidP="0036253B">
      <w:pPr>
        <w:jc w:val="both"/>
      </w:pPr>
      <w:r w:rsidRPr="0036253B">
        <w:t xml:space="preserve">Diese Frage nach dem notwendigen Zwischenziel stellt sich insbesondere bei den sog. </w:t>
      </w:r>
      <w:r w:rsidRPr="0036253B">
        <w:rPr>
          <w:i/>
          <w:iCs/>
        </w:rPr>
        <w:t>Delikten mit überschießender Innentendenz</w:t>
      </w:r>
      <w:r w:rsidRPr="0036253B">
        <w:t>, bei denen der (Zueignungs- oder Bereicherungs-)Absicht kein korrespondierendes objektives Tatbestandsmerkmal gegenübersteht („kupierte Erfolgsdelikte“). In diesen Fällen muss das notwendige Zwischenziel auch im Sinne des dolus directus ersten Grades erstrebt</w:t>
      </w:r>
      <w:r w:rsidRPr="0036253B">
        <w:rPr>
          <w:vertAlign w:val="superscript"/>
        </w:rPr>
        <w:t>18</w:t>
      </w:r>
      <w:r w:rsidRPr="0036253B">
        <w:t xml:space="preserve"> sein.</w:t>
      </w:r>
    </w:p>
    <w:p w:rsidR="0036253B" w:rsidRPr="0036253B" w:rsidRDefault="0036253B" w:rsidP="0036253B">
      <w:pPr>
        <w:jc w:val="both"/>
      </w:pPr>
      <w:r w:rsidRPr="0036253B">
        <w:rPr>
          <w:i/>
          <w:iCs/>
        </w:rPr>
        <w:t>Beispiel:</w:t>
      </w:r>
      <w:r w:rsidRPr="0036253B">
        <w:t xml:space="preserve"> Provisionsvertreter </w:t>
      </w:r>
      <w:r w:rsidRPr="0036253B">
        <w:rPr>
          <w:i/>
          <w:iCs/>
        </w:rPr>
        <w:t>A</w:t>
      </w:r>
      <w:r w:rsidRPr="0036253B">
        <w:t xml:space="preserve"> der Firma X erstrebt durch seine zum Vertragsabschluss führenden Kundentäuschungen letztlich, dass er für diese Vertragsabschlüsse zwischen X und deren Kunden die mit X vereinbarte Provision erhält. Dieses Endziel ändert aber nichts daran, dass er als notwendiges Zwischenziel zur Erlangung seiner Provision</w:t>
      </w:r>
      <w:r w:rsidRPr="0036253B">
        <w:rPr>
          <w:vertAlign w:val="superscript"/>
        </w:rPr>
        <w:t>19</w:t>
      </w:r>
      <w:r w:rsidRPr="0036253B">
        <w:t xml:space="preserve"> eine Bereicherung der Firma X anstrebt</w:t>
      </w:r>
      <w:r w:rsidRPr="0036253B">
        <w:rPr>
          <w:vertAlign w:val="superscript"/>
        </w:rPr>
        <w:t>20</w:t>
      </w:r>
      <w:r w:rsidRPr="0036253B">
        <w:t xml:space="preserve">. </w:t>
      </w:r>
    </w:p>
    <w:p w:rsidR="0036253B" w:rsidRPr="0036253B" w:rsidRDefault="0036253B" w:rsidP="0036253B">
      <w:pPr>
        <w:jc w:val="both"/>
      </w:pPr>
      <w:r w:rsidRPr="0036253B">
        <w:rPr>
          <w:i/>
          <w:iCs/>
        </w:rPr>
        <w:t>Gegenbeispiel</w:t>
      </w:r>
      <w:r w:rsidRPr="0036253B">
        <w:rPr>
          <w:vertAlign w:val="superscript"/>
        </w:rPr>
        <w:t>21</w:t>
      </w:r>
      <w:r w:rsidRPr="0036253B">
        <w:t>: Der Beamte</w:t>
      </w:r>
      <w:r w:rsidRPr="0036253B">
        <w:rPr>
          <w:i/>
          <w:iCs/>
        </w:rPr>
        <w:t xml:space="preserve"> A</w:t>
      </w:r>
      <w:r w:rsidRPr="0036253B">
        <w:t xml:space="preserve">, der entgegen dienstlicher Weisung bei seiner Fahrt von West-Berlin in das übrige Bundesgebiet die damalige Transitstrecke durch die DDR benutzt hatte, machte bei seiner Reisekostenabrechnung angeblich entstandene Flugkosten geltend; ihm kam es hierbei darauf an, den ihm infolge seiner weisungswidrigen Pkw-Benutzung drohenden disziplinarrechtlichen Nachteilen zu entgehen: Der finanzielle Vorteil rechtswidrig erstatteter Reisekosten war weder das eigentlich erstrebte Endziel des </w:t>
      </w:r>
      <w:r w:rsidRPr="0036253B">
        <w:rPr>
          <w:i/>
          <w:iCs/>
        </w:rPr>
        <w:t>A</w:t>
      </w:r>
      <w:r w:rsidRPr="0036253B">
        <w:t xml:space="preserve"> noch war diese Erstattung zwingend notwendig, um sein angestrebtes Ziel (Vermeidung eines Disziplinarverfahrens) zu erreichen; auf eine dem Täter bei seinem ausschließlich auf Erreichen eines anderen Ziels gerichteten Verhalten zwar bekannte, ihm aber lediglich aufgezwungene Zwischen- oder Nebenfolge erstreckt sich seine Bereicherungsabsicht nicht</w:t>
      </w:r>
      <w:r w:rsidRPr="0036253B">
        <w:rPr>
          <w:vertAlign w:val="superscript"/>
        </w:rPr>
        <w:t>22</w:t>
      </w:r>
      <w:r w:rsidRPr="0036253B">
        <w:t>.</w:t>
      </w:r>
    </w:p>
    <w:p w:rsidR="0036253B" w:rsidRPr="0036253B" w:rsidRDefault="0036253B" w:rsidP="0036253B">
      <w:pPr>
        <w:jc w:val="both"/>
      </w:pPr>
      <w:r w:rsidRPr="0036253B">
        <w:t xml:space="preserve">Verwendet das Strafgesetz das subjektive Merkmal der Absicht, so ist in diesen Fällen ein Handeln mit Eventualvorsatz nicht ausreichend. Darüber hinaus ist es eine Frage der Interpretation des einzelnen Tatbestandes, ob neben dem Eventualvorsatz auch die </w:t>
      </w:r>
      <w:proofErr w:type="spellStart"/>
      <w:r w:rsidRPr="0036253B">
        <w:t>Wissentlichkeit</w:t>
      </w:r>
      <w:proofErr w:type="spellEnd"/>
      <w:r w:rsidRPr="0036253B">
        <w:t xml:space="preserve"> ausgeschlossen sein soll. Als (wirklich nur) Faustregel</w:t>
      </w:r>
      <w:r w:rsidRPr="0036253B">
        <w:rPr>
          <w:vertAlign w:val="superscript"/>
        </w:rPr>
        <w:t>23</w:t>
      </w:r>
      <w:r w:rsidRPr="0036253B">
        <w:t xml:space="preserve"> kann insoweit gelten, dass bei Delikten, deren Unrecht dadurch charakterisiert ist, dass der Täter eine für ihn (oder andere) günstige Position erstrebt (also beispielsweise bei der Bereicherungsabsicht i. S. von §§ 253, 263), insoweit ein zielgerichtetes Handeln erforderlich ist, während bei reinen Schädigungsdelikten beide Formen des dolus directus ausreichen (also etwa im Fall von §§ 164, 274)</w:t>
      </w:r>
      <w:r w:rsidRPr="0036253B">
        <w:rPr>
          <w:vertAlign w:val="superscript"/>
        </w:rPr>
        <w:t>24</w:t>
      </w:r>
      <w:r w:rsidRPr="0036253B">
        <w:t>.</w:t>
      </w:r>
    </w:p>
    <w:p w:rsidR="0036253B" w:rsidRPr="0036253B" w:rsidRDefault="0036253B" w:rsidP="0036253B">
      <w:pPr>
        <w:jc w:val="both"/>
        <w:rPr>
          <w:b/>
          <w:bCs/>
        </w:rPr>
      </w:pPr>
      <w:r w:rsidRPr="0036253B">
        <w:rPr>
          <w:b/>
          <w:bCs/>
        </w:rPr>
        <w:t>3. </w:t>
      </w:r>
      <w:proofErr w:type="spellStart"/>
      <w:r w:rsidRPr="0036253B">
        <w:rPr>
          <w:b/>
          <w:bCs/>
        </w:rPr>
        <w:t>Wissentlichkeit</w:t>
      </w:r>
      <w:proofErr w:type="spellEnd"/>
      <w:r w:rsidRPr="0036253B">
        <w:rPr>
          <w:b/>
          <w:bCs/>
        </w:rPr>
        <w:t xml:space="preserve"> (</w:t>
      </w:r>
      <w:proofErr w:type="spellStart"/>
      <w:r w:rsidRPr="0036253B">
        <w:rPr>
          <w:b/>
          <w:bCs/>
        </w:rPr>
        <w:t>dolus</w:t>
      </w:r>
      <w:proofErr w:type="spellEnd"/>
      <w:r w:rsidRPr="0036253B">
        <w:rPr>
          <w:b/>
          <w:bCs/>
        </w:rPr>
        <w:t xml:space="preserve"> directus zweiten Grades)</w:t>
      </w:r>
    </w:p>
    <w:p w:rsidR="0036253B" w:rsidRPr="0036253B" w:rsidRDefault="0036253B" w:rsidP="0036253B">
      <w:pPr>
        <w:jc w:val="both"/>
      </w:pPr>
      <w:r w:rsidRPr="0036253B">
        <w:lastRenderedPageBreak/>
        <w:t>Diese Vorsatzform</w:t>
      </w:r>
      <w:r w:rsidRPr="0036253B">
        <w:rPr>
          <w:vertAlign w:val="superscript"/>
        </w:rPr>
        <w:t>25</w:t>
      </w:r>
      <w:r w:rsidRPr="0036253B">
        <w:t xml:space="preserve"> ist durch ein besonders ausgeprägtes Wissenselement gekennzeichnet: Der Täter hat sicheres Wissen davon, dass sein Verhalten die Voraussetzungen eines Strafgesetzes erfüllt. Dies kann zum einen der Fall sein, wenn er den nicht beabsichtigten Erfolg als notwendige Nebenfolge seines Handelns voraussieht, die zwar nicht denknotwendig, aber doch höchstwahrscheinlich eintritt</w:t>
      </w:r>
      <w:r w:rsidRPr="0036253B">
        <w:rPr>
          <w:vertAlign w:val="superscript"/>
        </w:rPr>
        <w:t>26</w:t>
      </w:r>
      <w:r w:rsidRPr="0036253B">
        <w:t xml:space="preserve">. </w:t>
      </w:r>
    </w:p>
    <w:p w:rsidR="0036253B" w:rsidRPr="0036253B" w:rsidRDefault="0036253B" w:rsidP="0036253B">
      <w:pPr>
        <w:jc w:val="both"/>
      </w:pPr>
      <w:r w:rsidRPr="0036253B">
        <w:rPr>
          <w:i/>
          <w:iCs/>
        </w:rPr>
        <w:t>Beispiel:</w:t>
      </w:r>
      <w:r w:rsidRPr="0036253B">
        <w:t xml:space="preserve"> Um seinen Erbonkel </w:t>
      </w:r>
      <w:r w:rsidRPr="0036253B">
        <w:rPr>
          <w:i/>
          <w:iCs/>
        </w:rPr>
        <w:t>O</w:t>
      </w:r>
      <w:r w:rsidRPr="0036253B">
        <w:t xml:space="preserve"> zu töten, deponiert </w:t>
      </w:r>
      <w:r w:rsidRPr="0036253B">
        <w:rPr>
          <w:i/>
          <w:iCs/>
        </w:rPr>
        <w:t>A</w:t>
      </w:r>
      <w:r w:rsidRPr="0036253B">
        <w:t xml:space="preserve"> eine Zeitbombe im Flugzeug; </w:t>
      </w:r>
      <w:proofErr w:type="spellStart"/>
      <w:r w:rsidRPr="0036253B">
        <w:t>den</w:t>
      </w:r>
      <w:proofErr w:type="spellEnd"/>
      <w:r w:rsidRPr="0036253B">
        <w:t xml:space="preserve"> dann ebenfalls eintretenden Tod der übrigen Flugzeuginsassen bedauert er: Während er die Tötung des </w:t>
      </w:r>
      <w:r w:rsidRPr="0036253B">
        <w:rPr>
          <w:i/>
          <w:iCs/>
        </w:rPr>
        <w:t>O</w:t>
      </w:r>
      <w:r w:rsidRPr="0036253B">
        <w:t xml:space="preserve"> beabsichtigte, handelte er hinsichtlich des Todes der übrigen Passagiere und Besatzungsmitglieder mit </w:t>
      </w:r>
      <w:r w:rsidRPr="0036253B">
        <w:rPr>
          <w:i/>
          <w:iCs/>
        </w:rPr>
        <w:t>dolus directus zweiten Grades</w:t>
      </w:r>
      <w:r w:rsidRPr="0036253B">
        <w:t>: Ihr Tod war eine nach allgemeiner Lebenserfahrung eintretende Folge seines Bombenanschlags; was ein Täter aber als sicher erkennt, hat er auch in seinen Verwirklichungswillen aufgenommen</w:t>
      </w:r>
      <w:r w:rsidRPr="0036253B">
        <w:rPr>
          <w:vertAlign w:val="superscript"/>
        </w:rPr>
        <w:t>27</w:t>
      </w:r>
      <w:r w:rsidRPr="0036253B">
        <w:t>. Angesichts dieser Gewissheitsvorstellung kommt es daher auf eine positive Einstellung des Täters zum Erfolgseintritt nicht an</w:t>
      </w:r>
      <w:r w:rsidRPr="0036253B">
        <w:rPr>
          <w:vertAlign w:val="superscript"/>
        </w:rPr>
        <w:t>28</w:t>
      </w:r>
      <w:r w:rsidRPr="0036253B">
        <w:t>.</w:t>
      </w:r>
    </w:p>
    <w:p w:rsidR="0036253B" w:rsidRPr="0036253B" w:rsidRDefault="0036253B" w:rsidP="0036253B">
      <w:pPr>
        <w:jc w:val="both"/>
      </w:pPr>
      <w:r w:rsidRPr="0036253B">
        <w:t xml:space="preserve">Weiteres </w:t>
      </w:r>
      <w:r w:rsidRPr="0036253B">
        <w:rPr>
          <w:i/>
          <w:iCs/>
        </w:rPr>
        <w:t>Beispiel</w:t>
      </w:r>
      <w:r w:rsidRPr="0036253B">
        <w:rPr>
          <w:vertAlign w:val="superscript"/>
        </w:rPr>
        <w:t>29</w:t>
      </w:r>
      <w:r w:rsidRPr="0036253B">
        <w:t xml:space="preserve">: Attentäter </w:t>
      </w:r>
      <w:r w:rsidRPr="0036253B">
        <w:rPr>
          <w:i/>
          <w:iCs/>
        </w:rPr>
        <w:t>A</w:t>
      </w:r>
      <w:r w:rsidRPr="0036253B">
        <w:t xml:space="preserve"> feuert eine Rakete auf das Fahrzeug des Politikers </w:t>
      </w:r>
      <w:r w:rsidRPr="0036253B">
        <w:rPr>
          <w:i/>
          <w:iCs/>
        </w:rPr>
        <w:t>P</w:t>
      </w:r>
      <w:r w:rsidRPr="0036253B">
        <w:t xml:space="preserve">; er geht hierbei davon aus, dass sich in dem zu zerstörenden Fahrzeug weitere Personen (Leibwächter) befinden, hält aber ein Fehlgehen der Rakete für möglich: Den Tod des </w:t>
      </w:r>
      <w:r w:rsidRPr="0036253B">
        <w:rPr>
          <w:i/>
          <w:iCs/>
        </w:rPr>
        <w:t>P</w:t>
      </w:r>
      <w:r w:rsidRPr="0036253B">
        <w:t xml:space="preserve"> hat </w:t>
      </w:r>
      <w:r w:rsidRPr="0036253B">
        <w:rPr>
          <w:i/>
          <w:iCs/>
        </w:rPr>
        <w:t>A</w:t>
      </w:r>
      <w:r w:rsidRPr="0036253B">
        <w:t xml:space="preserve"> beabsichtigt (da hierfür ein bloßes Für-möglich-Halten des Erfolgseintritts genügt). Bezüglich der übrigen Fahrzeuginsassen liegt </w:t>
      </w:r>
      <w:proofErr w:type="spellStart"/>
      <w:r w:rsidRPr="0036253B">
        <w:t>Wissentlichkeit</w:t>
      </w:r>
      <w:proofErr w:type="spellEnd"/>
      <w:r w:rsidRPr="0036253B">
        <w:t xml:space="preserve"> vor. Hierin liegt nur scheinbar ein Widerspruch zum bloßen Für-möglich-Halten des Todes des </w:t>
      </w:r>
      <w:r w:rsidRPr="0036253B">
        <w:rPr>
          <w:i/>
          <w:iCs/>
        </w:rPr>
        <w:t>P</w:t>
      </w:r>
      <w:r w:rsidRPr="0036253B">
        <w:t xml:space="preserve">. Stellt man nämlich darauf ab, dass, falls das Fahrzeug des </w:t>
      </w:r>
      <w:r w:rsidRPr="0036253B">
        <w:rPr>
          <w:i/>
          <w:iCs/>
        </w:rPr>
        <w:t>P</w:t>
      </w:r>
      <w:r w:rsidRPr="0036253B">
        <w:t xml:space="preserve"> getroffen wird, mit Sicherheit alle Insassen getötet werden, so liegt dolus directus zweiten Grades vor</w:t>
      </w:r>
      <w:r w:rsidRPr="0036253B">
        <w:rPr>
          <w:vertAlign w:val="superscript"/>
        </w:rPr>
        <w:t>30</w:t>
      </w:r>
      <w:r w:rsidRPr="0036253B">
        <w:t xml:space="preserve">. </w:t>
      </w:r>
    </w:p>
    <w:p w:rsidR="0036253B" w:rsidRPr="0036253B" w:rsidRDefault="0036253B" w:rsidP="0036253B">
      <w:pPr>
        <w:jc w:val="both"/>
      </w:pPr>
      <w:r w:rsidRPr="0036253B">
        <w:t>978</w:t>
      </w:r>
    </w:p>
    <w:p w:rsidR="0036253B" w:rsidRPr="0036253B" w:rsidRDefault="0036253B" w:rsidP="0036253B">
      <w:pPr>
        <w:jc w:val="both"/>
      </w:pPr>
      <w:r w:rsidRPr="0036253B">
        <w:t xml:space="preserve">Des Weiteren kann sich die </w:t>
      </w:r>
      <w:proofErr w:type="spellStart"/>
      <w:r w:rsidRPr="0036253B">
        <w:t>Wissentlichkeit</w:t>
      </w:r>
      <w:proofErr w:type="spellEnd"/>
      <w:r w:rsidRPr="0036253B">
        <w:t xml:space="preserve"> auch auf andere Umstände als den Taterfolg beziehen, nämlich dann, wenn der Täter von seinem Willen unabhängige Elemente der Tat, etwa die Unwahrheit der behaupteten Tatsachen i. S. von § 187, als sicher gegeben erkennt</w:t>
      </w:r>
      <w:r w:rsidRPr="0036253B">
        <w:rPr>
          <w:vertAlign w:val="superscript"/>
        </w:rPr>
        <w:t>31</w:t>
      </w:r>
      <w:r w:rsidRPr="0036253B">
        <w:t xml:space="preserve">. </w:t>
      </w:r>
    </w:p>
    <w:p w:rsidR="0036253B" w:rsidRPr="0036253B" w:rsidRDefault="0036253B" w:rsidP="0036253B">
      <w:pPr>
        <w:jc w:val="both"/>
        <w:rPr>
          <w:b/>
          <w:bCs/>
        </w:rPr>
      </w:pPr>
      <w:r w:rsidRPr="0036253B">
        <w:rPr>
          <w:b/>
          <w:bCs/>
        </w:rPr>
        <w:t xml:space="preserve">4. Eventualvorsatz („bedingter“ Vorsatz </w:t>
      </w:r>
      <w:r w:rsidRPr="0036253B">
        <w:rPr>
          <w:b/>
          <w:bCs/>
          <w:vertAlign w:val="superscript"/>
        </w:rPr>
        <w:t>32</w:t>
      </w:r>
      <w:r w:rsidRPr="0036253B">
        <w:rPr>
          <w:b/>
          <w:bCs/>
        </w:rPr>
        <w:t xml:space="preserve">) </w:t>
      </w:r>
    </w:p>
    <w:p w:rsidR="0036253B" w:rsidRPr="0036253B" w:rsidRDefault="0036253B" w:rsidP="0036253B">
      <w:pPr>
        <w:jc w:val="both"/>
      </w:pPr>
      <w:r w:rsidRPr="0036253B">
        <w:t>Bei dieser Vorsatzform ist sowohl das Wissenselement (Für-möglich-Halten genügt) als auch das überdies umstrittene Willenselement schwach ausgeprägt (Inkaufnahme reicht aus). Somit stellt sich hier die für die Frage der Strafbarkeit als solche (z. B. bei § 303) oder zumindest für Unrechtstyp und Strafrahmen (etwa bei §§ 212, 222) entscheidende weitere Frage einer Abgrenzung zur bewussten Fahrlässigkeit, bei der bekanntlich der Täter die Tatbestandsverwirklichung ebenfalls für möglich hält. Dieser in der Wissenschaft mitunter hochtheoretisch geführte, wohl unlösbare Streit</w:t>
      </w:r>
      <w:r w:rsidRPr="0036253B">
        <w:rPr>
          <w:vertAlign w:val="superscript"/>
        </w:rPr>
        <w:t>33</w:t>
      </w:r>
      <w:r w:rsidRPr="0036253B">
        <w:t xml:space="preserve"> kann hier nur angedeutet werden, so dass auf die informative Studienliteratur</w:t>
      </w:r>
      <w:r w:rsidRPr="0036253B">
        <w:rPr>
          <w:vertAlign w:val="superscript"/>
        </w:rPr>
        <w:t>34</w:t>
      </w:r>
      <w:r w:rsidRPr="0036253B">
        <w:t xml:space="preserve"> hierzu verwiesen sei.</w:t>
      </w:r>
    </w:p>
    <w:p w:rsidR="0036253B" w:rsidRPr="0036253B" w:rsidRDefault="0036253B" w:rsidP="0036253B">
      <w:pPr>
        <w:jc w:val="both"/>
      </w:pPr>
      <w:r w:rsidRPr="0036253B">
        <w:t xml:space="preserve">Hält man für alle Vorsatzformen ein voluntatives Element erforderlich (so o. IV 1), ist die Entscheidung gegen alle Formen der sog. </w:t>
      </w:r>
      <w:r w:rsidRPr="0036253B">
        <w:rPr>
          <w:i/>
          <w:iCs/>
        </w:rPr>
        <w:t>Vorstellungstheorien</w:t>
      </w:r>
      <w:r w:rsidRPr="0036253B">
        <w:t xml:space="preserve"> bereits gefallen, die zum Ausgleich für das von ihnen nicht verlangte Willenselement auf eine nähere Konturierung des Wissenselements (im Sinne eines qualifizierten Gefahr- bzw. eines Risiko-Urteils seitens des Täters</w:t>
      </w:r>
      <w:r w:rsidRPr="0036253B">
        <w:rPr>
          <w:vertAlign w:val="superscript"/>
        </w:rPr>
        <w:t>35</w:t>
      </w:r>
      <w:r w:rsidRPr="0036253B">
        <w:t xml:space="preserve">) Wert legen: Während die sog. </w:t>
      </w:r>
      <w:r w:rsidRPr="0036253B">
        <w:rPr>
          <w:i/>
          <w:iCs/>
        </w:rPr>
        <w:t>Wahrscheinlichkeitstheorie</w:t>
      </w:r>
      <w:r w:rsidRPr="0036253B">
        <w:rPr>
          <w:vertAlign w:val="superscript"/>
        </w:rPr>
        <w:t>36</w:t>
      </w:r>
      <w:r w:rsidRPr="0036253B">
        <w:t xml:space="preserve"> Vorsatz dann annehmen wollte, wenn der Täter die Tatbestandsrealisierung für mehr als möglich, aber weniger als überwiegend wahrscheinlich hielt, lassen Vertreter der </w:t>
      </w:r>
      <w:r w:rsidRPr="0036253B">
        <w:rPr>
          <w:i/>
          <w:iCs/>
        </w:rPr>
        <w:t>Möglichkeitstheorie</w:t>
      </w:r>
      <w:r w:rsidRPr="0036253B">
        <w:t xml:space="preserve"> es genügen, wenn der Täter von der konkreten Möglichkeit eines tatbestandsmäßigen Geschehens ausgeht</w:t>
      </w:r>
      <w:r w:rsidRPr="0036253B">
        <w:rPr>
          <w:vertAlign w:val="superscript"/>
        </w:rPr>
        <w:t>37</w:t>
      </w:r>
      <w:r w:rsidRPr="0036253B">
        <w:t>; mitunter wird insoweit auch die Vorstellung verlangt, eine relativ hohe Gefahr der Tatbestandsverwirklichung geschaffen zu haben</w:t>
      </w:r>
      <w:r w:rsidRPr="0036253B">
        <w:rPr>
          <w:vertAlign w:val="superscript"/>
        </w:rPr>
        <w:t>38</w:t>
      </w:r>
      <w:r w:rsidRPr="0036253B">
        <w:t>.</w:t>
      </w:r>
    </w:p>
    <w:p w:rsidR="0036253B" w:rsidRPr="0036253B" w:rsidRDefault="0036253B" w:rsidP="0036253B">
      <w:pPr>
        <w:jc w:val="both"/>
      </w:pPr>
      <w:r w:rsidRPr="0036253B">
        <w:t xml:space="preserve">Hält man – wie auch in diesem Beitrag vertreten – zur Annahme vorsätzlichen Verhaltens auch ein voluntatives Element für erforderlich, so ist der Weg zu den sich weniger inhaltlich als terminologisch unterscheidenden Auffassungen der sog. </w:t>
      </w:r>
      <w:r w:rsidRPr="0036253B">
        <w:rPr>
          <w:i/>
          <w:iCs/>
        </w:rPr>
        <w:t>Billigungstheorie</w:t>
      </w:r>
      <w:r w:rsidRPr="0036253B">
        <w:t xml:space="preserve"> der Rechtsprechung bzw. der in der Literatur überwiegend verfochtenen </w:t>
      </w:r>
      <w:proofErr w:type="spellStart"/>
      <w:r w:rsidRPr="0036253B">
        <w:rPr>
          <w:i/>
          <w:iCs/>
        </w:rPr>
        <w:t>Ernstnahmetheorie</w:t>
      </w:r>
      <w:proofErr w:type="spellEnd"/>
      <w:r w:rsidRPr="0036253B">
        <w:t xml:space="preserve"> eröffnet. Nach der </w:t>
      </w:r>
      <w:r w:rsidRPr="0036253B">
        <w:rPr>
          <w:i/>
          <w:iCs/>
        </w:rPr>
        <w:t>Rechtsprechung</w:t>
      </w:r>
      <w:r w:rsidRPr="0036253B">
        <w:rPr>
          <w:vertAlign w:val="superscript"/>
        </w:rPr>
        <w:t>39</w:t>
      </w:r>
      <w:r w:rsidRPr="0036253B">
        <w:t xml:space="preserve"> handelt derjenige mit Eventualvorsatz, der </w:t>
      </w:r>
    </w:p>
    <w:p w:rsidR="0036253B" w:rsidRPr="0036253B" w:rsidRDefault="0036253B" w:rsidP="0036253B">
      <w:pPr>
        <w:jc w:val="both"/>
      </w:pPr>
      <w:r w:rsidRPr="0036253B">
        <w:t>„den Eintritt des tatbestandlichen Erfolgs als möglich und nicht ganz fernliegend erkennt und damit in der Weise einverstanden ist, dass er die Tatbestandsverwirklichung billigend in Kauf nimmt oder sich um des erstrebten Ziels willen wenigstens mit ihr abfindet, mag ihm auch der Erfolgseintritt an sich unerwünscht sein; bewusste Fahrlässigkeit liegt hingegen dann vor, wenn der Täter mit der als möglich erkannten Tatbestandsverwirklichung nicht einverstanden ist und ernsthaft – nicht nur vage – darauf vertraut, der tatbestandliche Erfolg werde nicht eintreten“</w:t>
      </w:r>
      <w:r w:rsidRPr="0036253B">
        <w:rPr>
          <w:vertAlign w:val="superscript"/>
        </w:rPr>
        <w:t>40</w:t>
      </w:r>
      <w:r w:rsidRPr="0036253B">
        <w:t xml:space="preserve">. </w:t>
      </w:r>
    </w:p>
    <w:p w:rsidR="0036253B" w:rsidRPr="0036253B" w:rsidRDefault="0036253B" w:rsidP="0036253B">
      <w:pPr>
        <w:jc w:val="both"/>
      </w:pPr>
      <w:r w:rsidRPr="0036253B">
        <w:t>Wesentlich ist in diesem Zusammenhang, dass dieses „Billigen im Rechtssinne“</w:t>
      </w:r>
      <w:r w:rsidRPr="0036253B">
        <w:rPr>
          <w:vertAlign w:val="superscript"/>
        </w:rPr>
        <w:t>41</w:t>
      </w:r>
      <w:r w:rsidRPr="0036253B">
        <w:t xml:space="preserve"> keine positive Gefühlseinstellung des Täters zum Erfolg verlangt, sondern auch dann vorliegen kann, wenn dem Täter der Erfolg an sich unerwünscht ist. Da somit kein als Einwilligung begreifbarer psychischer Sachverhalt zum Ausdruck gebracht wird, ergibt das von der Rechtsprechung nach wie vor formelhaft herangezogene „Billigen“</w:t>
      </w:r>
      <w:r w:rsidRPr="0036253B">
        <w:rPr>
          <w:vertAlign w:val="superscript"/>
        </w:rPr>
        <w:t>42</w:t>
      </w:r>
      <w:r w:rsidRPr="0036253B">
        <w:t xml:space="preserve"> keinen rechten Sinn</w:t>
      </w:r>
      <w:r w:rsidRPr="0036253B">
        <w:rPr>
          <w:vertAlign w:val="superscript"/>
        </w:rPr>
        <w:t>43</w:t>
      </w:r>
      <w:r w:rsidRPr="0036253B">
        <w:t xml:space="preserve">. Sachentsprechend wird in der Literatur (sog. </w:t>
      </w:r>
      <w:proofErr w:type="spellStart"/>
      <w:r w:rsidRPr="0036253B">
        <w:rPr>
          <w:i/>
          <w:iCs/>
        </w:rPr>
        <w:t>Ernstnahmetheorie</w:t>
      </w:r>
      <w:proofErr w:type="spellEnd"/>
      <w:r w:rsidRPr="0036253B">
        <w:t>)</w:t>
      </w:r>
      <w:r w:rsidRPr="0036253B">
        <w:rPr>
          <w:vertAlign w:val="superscript"/>
        </w:rPr>
        <w:t>44</w:t>
      </w:r>
      <w:r w:rsidRPr="0036253B">
        <w:t xml:space="preserve"> für den </w:t>
      </w:r>
      <w:proofErr w:type="spellStart"/>
      <w:r w:rsidRPr="0036253B">
        <w:t>dolus</w:t>
      </w:r>
      <w:proofErr w:type="spellEnd"/>
      <w:r w:rsidRPr="0036253B">
        <w:t xml:space="preserve"> eventualis gefordert, dass der Täter sich um des erstrebten Ziels willen mit der – ernsthaft für möglich gehaltenen – Tatbestandsverwirklichung abfindet</w:t>
      </w:r>
      <w:r w:rsidRPr="0036253B">
        <w:rPr>
          <w:vertAlign w:val="superscript"/>
        </w:rPr>
        <w:t>45</w:t>
      </w:r>
      <w:r w:rsidRPr="0036253B">
        <w:t>; bewusst fahrlässig handelt hingegen, wer ernsthaft darauf vertraut</w:t>
      </w:r>
      <w:r w:rsidRPr="0036253B">
        <w:rPr>
          <w:vertAlign w:val="superscript"/>
        </w:rPr>
        <w:t>46</w:t>
      </w:r>
      <w:r w:rsidRPr="0036253B">
        <w:t>, eine für möglich erkannte Tatbestandsverwirklichung werde nicht eintreten. Hiermit wird terminologisch klargestellt, dass – so ja im Ergebnis auch die Rechtsprechung – eine positive emotionale Beziehung des Täters zur Tatbestandsverwirklichung nicht erforderlich ist</w:t>
      </w:r>
      <w:r w:rsidRPr="0036253B">
        <w:rPr>
          <w:vertAlign w:val="superscript"/>
        </w:rPr>
        <w:t>47</w:t>
      </w:r>
      <w:r w:rsidRPr="0036253B">
        <w:t>. Auch hierin wird deutlich, dass die Abgrenzung zwischen Eventualvorsatz und bewusster Fahrlässigkeit letztlich weniger ein psychologischer Erkenntnis- als vielmehr ein normativer Zuschreibungsakt ist</w:t>
      </w:r>
      <w:r w:rsidRPr="0036253B">
        <w:rPr>
          <w:vertAlign w:val="superscript"/>
        </w:rPr>
        <w:t>48</w:t>
      </w:r>
      <w:r w:rsidRPr="0036253B">
        <w:t>. Die rechtspraktische Problematik</w:t>
      </w:r>
      <w:r w:rsidRPr="0036253B">
        <w:rPr>
          <w:vertAlign w:val="superscript"/>
        </w:rPr>
        <w:t>49</w:t>
      </w:r>
      <w:r w:rsidRPr="0036253B">
        <w:t xml:space="preserve"> liegt in der immer noch nicht gelösten Schwierigkeit, die als solche nicht feststellbaren inneren Tatsachen sowohl hinsichtlich des voluntativen als auch des kognitiven Elements im Strafverfahren anhand von Indizien beweiskräftig festzustellen</w:t>
      </w:r>
      <w:r w:rsidRPr="0036253B">
        <w:rPr>
          <w:vertAlign w:val="superscript"/>
        </w:rPr>
        <w:t>50</w:t>
      </w:r>
      <w:r w:rsidRPr="0036253B">
        <w:t>. In diese notwendige Gesamtschau aller Umstände, die für oder gegen die Annahme des Eventualvorsatzes sprechen</w:t>
      </w:r>
      <w:r w:rsidRPr="0036253B">
        <w:rPr>
          <w:vertAlign w:val="superscript"/>
        </w:rPr>
        <w:t>51</w:t>
      </w:r>
      <w:r w:rsidRPr="0036253B">
        <w:t xml:space="preserve">, ist im Fall von Tötungsdelikten nach der Rechtsprechung auch die im Verhältnis zur bloßen </w:t>
      </w:r>
      <w:proofErr w:type="spellStart"/>
      <w:r w:rsidRPr="0036253B">
        <w:t>Verlet</w:t>
      </w:r>
      <w:proofErr w:type="spellEnd"/>
      <w:r w:rsidR="00015926">
        <w:t>-</w:t>
      </w:r>
    </w:p>
    <w:p w:rsidR="0036253B" w:rsidRPr="0036253B" w:rsidRDefault="0036253B" w:rsidP="0036253B">
      <w:pPr>
        <w:jc w:val="both"/>
      </w:pPr>
      <w:r w:rsidRPr="0036253B">
        <w:t>979</w:t>
      </w:r>
    </w:p>
    <w:p w:rsidR="0036253B" w:rsidRPr="0036253B" w:rsidRDefault="0036253B" w:rsidP="0036253B">
      <w:pPr>
        <w:jc w:val="both"/>
      </w:pPr>
      <w:proofErr w:type="spellStart"/>
      <w:r w:rsidRPr="0036253B">
        <w:t>zung</w:t>
      </w:r>
      <w:proofErr w:type="spellEnd"/>
      <w:r w:rsidRPr="0036253B">
        <w:t xml:space="preserve"> höhere </w:t>
      </w:r>
      <w:r w:rsidRPr="0036253B">
        <w:rPr>
          <w:i/>
          <w:iCs/>
        </w:rPr>
        <w:t>Hemmschwelle</w:t>
      </w:r>
      <w:r w:rsidRPr="0036253B">
        <w:t xml:space="preserve"> gegenüber einer Tötung einzubeziehen: Ein Schluss von der objektiven Gefährlichkeit der Handlungen auf bedingten Tötungsvorsatz ist zwar grundsätzlich möglich, aber durch Einzelfallumstände eben auch widerlegbar</w:t>
      </w:r>
      <w:r w:rsidRPr="0036253B">
        <w:rPr>
          <w:vertAlign w:val="superscript"/>
        </w:rPr>
        <w:t>52</w:t>
      </w:r>
      <w:r w:rsidRPr="0036253B">
        <w:t>.</w:t>
      </w:r>
    </w:p>
    <w:p w:rsidR="0036253B" w:rsidRPr="0036253B" w:rsidRDefault="0036253B" w:rsidP="0036253B">
      <w:pPr>
        <w:jc w:val="both"/>
      </w:pPr>
      <w:r w:rsidRPr="0036253B">
        <w:t>Zur Problembehandlung in einer Fallbearbeitung</w:t>
      </w:r>
      <w:r w:rsidRPr="0036253B">
        <w:rPr>
          <w:vertAlign w:val="superscript"/>
        </w:rPr>
        <w:t>53</w:t>
      </w:r>
      <w:r w:rsidRPr="0036253B">
        <w:t xml:space="preserve"> ein </w:t>
      </w:r>
      <w:r w:rsidRPr="0036253B">
        <w:rPr>
          <w:i/>
          <w:iCs/>
        </w:rPr>
        <w:t>Beispiel</w:t>
      </w:r>
      <w:r w:rsidRPr="0036253B">
        <w:rPr>
          <w:vertAlign w:val="superscript"/>
        </w:rPr>
        <w:t>54</w:t>
      </w:r>
      <w:r w:rsidRPr="0036253B">
        <w:t xml:space="preserve">: </w:t>
      </w:r>
      <w:r w:rsidRPr="0036253B">
        <w:rPr>
          <w:i/>
          <w:iCs/>
        </w:rPr>
        <w:t>A</w:t>
      </w:r>
      <w:r w:rsidRPr="0036253B">
        <w:t xml:space="preserve"> gab aus dem geöffneten Wohnzimmerfenster in Richtung der vor dem Haus verlaufenden Straße mehrere Schüsse aus einem Luftgewehr ab, um einen Kaugummiautomaten zu treffen, der an einem den Hof begrenzenden Lattenzaun angebracht war. Hierbei rechnete er damit, dass seine Schüsse auch den dahinter liegenden Straßenraum, auf dem reger </w:t>
      </w:r>
      <w:proofErr w:type="spellStart"/>
      <w:r w:rsidRPr="0036253B">
        <w:t>Passantenverkehr</w:t>
      </w:r>
      <w:proofErr w:type="spellEnd"/>
      <w:r w:rsidRPr="0036253B">
        <w:t xml:space="preserve"> herrschte, erreichen würden. Tatsächliche Anhaltspunkte dafür, dass ihm „Automatentreffer“ zuverlässig gelingen und die Schüsse nicht auch den dahinter liegenden Straßenraum erreichen würden, hatte er nicht; dies war ihm bei seinen Schießübungen auch gleichgültig. </w:t>
      </w:r>
      <w:r w:rsidRPr="0036253B">
        <w:rPr>
          <w:i/>
          <w:iCs/>
        </w:rPr>
        <w:t>P</w:t>
      </w:r>
      <w:r w:rsidRPr="0036253B">
        <w:t xml:space="preserve">, einer der von </w:t>
      </w:r>
      <w:r w:rsidRPr="0036253B">
        <w:rPr>
          <w:i/>
          <w:iCs/>
        </w:rPr>
        <w:t>A</w:t>
      </w:r>
      <w:r w:rsidRPr="0036253B">
        <w:t xml:space="preserve"> bemerkten</w:t>
      </w:r>
      <w:r w:rsidRPr="0036253B">
        <w:rPr>
          <w:vertAlign w:val="superscript"/>
        </w:rPr>
        <w:t>55</w:t>
      </w:r>
      <w:r w:rsidRPr="0036253B">
        <w:t xml:space="preserve"> Passanten, wurde ins Bein getroffen, als er sich etwa 1–2 m von dem Kaugummiautomaten entfernt befand. – </w:t>
      </w:r>
      <w:r w:rsidRPr="0036253B">
        <w:rPr>
          <w:i/>
          <w:iCs/>
        </w:rPr>
        <w:t>A</w:t>
      </w:r>
      <w:r w:rsidRPr="0036253B">
        <w:t xml:space="preserve"> hat sich wegen gefährlicher Körperverletzung (§§ 223, 224) strafbar gemacht, da er mit dem zu fordernden, aber auch genügenden Eventualvorsatz handelte: Er hielt den Erfolgseintritt für möglich („rechnete damit“) und fand sich mit der Tatbestandsverwirklichung ab, da er nicht ernsthaft darauf vertraut hat</w:t>
      </w:r>
      <w:r w:rsidRPr="0036253B">
        <w:rPr>
          <w:vertAlign w:val="superscript"/>
        </w:rPr>
        <w:t>56</w:t>
      </w:r>
      <w:r w:rsidRPr="0036253B">
        <w:t xml:space="preserve"> („tatsächliche Anhaltspunkte … hatte er nicht“), dass der abgegebene Schuss nur den Automaten und nicht auch einen Passanten treffen konnte. Hält der Täter aber den Eintritt des tatbestandlichen Erfolgs für möglich und setzt sein Handeln dennoch fort, so findet er sich bei seinem als gefährlich erkannten Tun mit der etwaigen Erfolgsherbeiführung ab</w:t>
      </w:r>
      <w:r w:rsidRPr="0036253B">
        <w:rPr>
          <w:vertAlign w:val="superscript"/>
        </w:rPr>
        <w:t>57</w:t>
      </w:r>
      <w:r w:rsidRPr="0036253B">
        <w:t xml:space="preserve">. </w:t>
      </w:r>
    </w:p>
    <w:p w:rsidR="0036253B" w:rsidRPr="0036253B" w:rsidRDefault="0036253B" w:rsidP="0036253B">
      <w:pPr>
        <w:jc w:val="both"/>
        <w:rPr>
          <w:b/>
          <w:bCs/>
        </w:rPr>
      </w:pPr>
      <w:r w:rsidRPr="0036253B">
        <w:rPr>
          <w:b/>
          <w:bCs/>
        </w:rPr>
        <w:t>V. Intensität des Wissens</w:t>
      </w:r>
    </w:p>
    <w:p w:rsidR="0036253B" w:rsidRPr="0036253B" w:rsidRDefault="0036253B" w:rsidP="0036253B">
      <w:pPr>
        <w:jc w:val="both"/>
      </w:pPr>
      <w:r w:rsidRPr="0036253B">
        <w:t xml:space="preserve">Die für alle Vorsatzformen erforderliche Kenntnis der Tatumstände liegt nicht nur bei dem Täter vor, der an sie ausdrücklich denkt (sog. Klarbewusstsein), sondern auch bei demjenigen, bei dem diese Umstände als notwendiges </w:t>
      </w:r>
      <w:r w:rsidRPr="0036253B">
        <w:rPr>
          <w:i/>
          <w:iCs/>
        </w:rPr>
        <w:t>Begleitwissen</w:t>
      </w:r>
      <w:r w:rsidRPr="0036253B">
        <w:t xml:space="preserve"> (sachgedankliches Mitbewusstsein) ohne weitere kognitive Verarbeitung derart aktuell wirksam vorhanden sind</w:t>
      </w:r>
      <w:r w:rsidRPr="0036253B">
        <w:rPr>
          <w:vertAlign w:val="superscript"/>
        </w:rPr>
        <w:t>58</w:t>
      </w:r>
      <w:r w:rsidRPr="0036253B">
        <w:t>, dass sie zwangsläufig zur Entscheidungsgrundlage seines Verhaltens gehören</w:t>
      </w:r>
      <w:r w:rsidRPr="0036253B">
        <w:rPr>
          <w:vertAlign w:val="superscript"/>
        </w:rPr>
        <w:t>59</w:t>
      </w:r>
      <w:r w:rsidRPr="0036253B">
        <w:t>; ein bloß potenzielles Bewusstsein genügt demgegenüber nicht, da hierdurch lediglich ein Fahrlässigkeitsvorwurf begründet wird. Bei der Rechtsanwendung stellen sich insbesondere in Bezug auf länger anhaltende Umstände (z. B. Überschuldung i. S. von § 283) oder dauernde Eigenschaften (z. B. Amtsträger i. S. von §§ 331 f., Treuepflichtiger i. S. von § 266) Probleme</w:t>
      </w:r>
      <w:r w:rsidRPr="0036253B">
        <w:rPr>
          <w:vertAlign w:val="superscript"/>
        </w:rPr>
        <w:t>60</w:t>
      </w:r>
      <w:r w:rsidRPr="0036253B">
        <w:t>.</w:t>
      </w:r>
    </w:p>
    <w:p w:rsidR="0036253B" w:rsidRPr="0036253B" w:rsidRDefault="0036253B" w:rsidP="0036253B">
      <w:pPr>
        <w:jc w:val="both"/>
      </w:pPr>
      <w:r w:rsidRPr="0036253B">
        <w:rPr>
          <w:i/>
          <w:iCs/>
        </w:rPr>
        <w:t>Beispiel</w:t>
      </w:r>
      <w:r w:rsidRPr="0036253B">
        <w:t xml:space="preserve"> </w:t>
      </w:r>
      <w:r w:rsidRPr="0036253B">
        <w:rPr>
          <w:vertAlign w:val="superscript"/>
        </w:rPr>
        <w:t>61</w:t>
      </w:r>
      <w:r w:rsidRPr="0036253B">
        <w:t xml:space="preserve">: Polizeibeamter </w:t>
      </w:r>
      <w:r w:rsidRPr="0036253B">
        <w:rPr>
          <w:i/>
          <w:iCs/>
        </w:rPr>
        <w:t>A</w:t>
      </w:r>
      <w:r w:rsidRPr="0036253B">
        <w:t xml:space="preserve"> verspürt während seines Dienstes Appetit auf etwas Süßes. Er durchquert daraufhin die Süßwarenabteilung eines Kaufhauses und lässt unauffällig einen Schokoladen-Riegel mitgehen, ohne diesen zu bezahlen. Während dieser Zeit trägt er seine geladene und gesicherte Dienstpistole im Halfter. – </w:t>
      </w:r>
      <w:r w:rsidRPr="0036253B">
        <w:rPr>
          <w:i/>
          <w:iCs/>
        </w:rPr>
        <w:t>A</w:t>
      </w:r>
      <w:r w:rsidRPr="0036253B">
        <w:t xml:space="preserve"> hat den Tatbestand des § 244 I Nr. 1 a</w:t>
      </w:r>
      <w:r w:rsidRPr="0036253B">
        <w:rPr>
          <w:vertAlign w:val="superscript"/>
        </w:rPr>
        <w:t>62</w:t>
      </w:r>
      <w:r w:rsidRPr="0036253B">
        <w:t xml:space="preserve"> auch dann vorsätzlich verwirklicht, wenn er bei der Wegnahme des Riegels nur an seinen Appetit auf Süßes, nicht aber an seine Dienstwaffe dachte. Dieses Bewusstsein, das festzustellen dem Tatrichter aufgegeben ist</w:t>
      </w:r>
      <w:r w:rsidRPr="0036253B">
        <w:rPr>
          <w:vertAlign w:val="superscript"/>
        </w:rPr>
        <w:t>63</w:t>
      </w:r>
      <w:r w:rsidRPr="0036253B">
        <w:t>, kann (nur) im Regelfall</w:t>
      </w:r>
      <w:r w:rsidRPr="0036253B">
        <w:rPr>
          <w:vertAlign w:val="superscript"/>
        </w:rPr>
        <w:t>64</w:t>
      </w:r>
      <w:r w:rsidRPr="0036253B">
        <w:t xml:space="preserve"> allein aus dem objektiven Umstand des Mitführens der Waffe geschlossen werden.</w:t>
      </w:r>
    </w:p>
    <w:p w:rsidR="0036253B" w:rsidRPr="0036253B" w:rsidRDefault="0036253B" w:rsidP="0036253B">
      <w:pPr>
        <w:jc w:val="both"/>
      </w:pPr>
      <w:r w:rsidRPr="0036253B">
        <w:t xml:space="preserve">Auch bei </w:t>
      </w:r>
      <w:r w:rsidRPr="0036253B">
        <w:rPr>
          <w:i/>
          <w:iCs/>
        </w:rPr>
        <w:t>automatisierten Handlungen</w:t>
      </w:r>
      <w:r w:rsidRPr="0036253B">
        <w:t xml:space="preserve"> handelt der Täter in der Regel vorsätzlich, da sein Vorsatz nur die jeweiligen Tatumstände, nicht aber jede einzelne Bewegung seines auf die Zielerreichung gerichteten Vorgehens umfassen muss (z. B. bei einem versierten Sportschützen nur das Erschießen des Opfers und nicht den Handlungsvollzug durch Zielen, Anlegen und Abdrücken)</w:t>
      </w:r>
      <w:r w:rsidRPr="0036253B">
        <w:rPr>
          <w:vertAlign w:val="superscript"/>
        </w:rPr>
        <w:t>65</w:t>
      </w:r>
      <w:r w:rsidRPr="0036253B">
        <w:t xml:space="preserve">. Ein Handeln im </w:t>
      </w:r>
      <w:r w:rsidRPr="0036253B">
        <w:rPr>
          <w:i/>
          <w:iCs/>
        </w:rPr>
        <w:t>Affekt</w:t>
      </w:r>
      <w:r w:rsidRPr="0036253B">
        <w:t xml:space="preserve"> steht der Annahme von (</w:t>
      </w:r>
      <w:proofErr w:type="spellStart"/>
      <w:r w:rsidRPr="0036253B">
        <w:t>Tötungs</w:t>
      </w:r>
      <w:proofErr w:type="spellEnd"/>
      <w:r w:rsidRPr="0036253B">
        <w:noBreakHyphen/>
        <w:t>)Vorsatz zwar nicht per se entgegen</w:t>
      </w:r>
      <w:r w:rsidRPr="0036253B">
        <w:rPr>
          <w:vertAlign w:val="superscript"/>
        </w:rPr>
        <w:t>66</w:t>
      </w:r>
      <w:r w:rsidRPr="0036253B">
        <w:t>, doch kann möglicherweise dessen kognitives bzw. voluntatives Element fehlen</w:t>
      </w:r>
      <w:r w:rsidRPr="0036253B">
        <w:rPr>
          <w:vertAlign w:val="superscript"/>
        </w:rPr>
        <w:t>67</w:t>
      </w:r>
      <w:r w:rsidRPr="0036253B">
        <w:t xml:space="preserve">. </w:t>
      </w:r>
    </w:p>
    <w:p w:rsidR="0036253B" w:rsidRPr="0036253B" w:rsidRDefault="0036253B" w:rsidP="0036253B">
      <w:pPr>
        <w:jc w:val="both"/>
        <w:rPr>
          <w:b/>
          <w:bCs/>
        </w:rPr>
      </w:pPr>
      <w:r w:rsidRPr="0036253B">
        <w:rPr>
          <w:b/>
          <w:bCs/>
        </w:rPr>
        <w:t>VI. Zeitpunkt des Vorsatzes</w:t>
      </w:r>
    </w:p>
    <w:p w:rsidR="0036253B" w:rsidRPr="0036253B" w:rsidRDefault="0036253B" w:rsidP="0036253B">
      <w:pPr>
        <w:jc w:val="both"/>
      </w:pPr>
      <w:r w:rsidRPr="0036253B">
        <w:t xml:space="preserve">Der Täter muss zur Zeit seiner </w:t>
      </w:r>
      <w:r w:rsidRPr="0036253B">
        <w:rPr>
          <w:i/>
          <w:iCs/>
        </w:rPr>
        <w:t>Tathandlung</w:t>
      </w:r>
      <w:r w:rsidRPr="0036253B">
        <w:t xml:space="preserve"> vorsätzlich handeln (Umkehrschluss aus § 16 I 1: „bei Begehung der Tat“), sog. Koinzidenz- oder Simultanitätsprinzip. Der Zeitpunkt der Tat bestimmt sich in entsprechender Anwendung von §§ 8, 22</w:t>
      </w:r>
      <w:r w:rsidRPr="0036253B">
        <w:rPr>
          <w:vertAlign w:val="superscript"/>
        </w:rPr>
        <w:t>68</w:t>
      </w:r>
      <w:r w:rsidRPr="0036253B">
        <w:t xml:space="preserve">. Mithin genügt ein der tatbestandsmäßigen Ausführungshandlung vorausgehender Vorsatz (sog. </w:t>
      </w:r>
      <w:proofErr w:type="spellStart"/>
      <w:r w:rsidRPr="0036253B">
        <w:rPr>
          <w:i/>
          <w:iCs/>
        </w:rPr>
        <w:t>dolus</w:t>
      </w:r>
      <w:proofErr w:type="spellEnd"/>
      <w:r w:rsidRPr="0036253B">
        <w:rPr>
          <w:i/>
          <w:iCs/>
        </w:rPr>
        <w:t xml:space="preserve"> </w:t>
      </w:r>
      <w:proofErr w:type="spellStart"/>
      <w:r w:rsidRPr="0036253B">
        <w:rPr>
          <w:i/>
          <w:iCs/>
        </w:rPr>
        <w:t>antecedens</w:t>
      </w:r>
      <w:proofErr w:type="spellEnd"/>
      <w:r w:rsidRPr="0036253B">
        <w:t>) nicht</w:t>
      </w:r>
      <w:r w:rsidRPr="0036253B">
        <w:rPr>
          <w:vertAlign w:val="superscript"/>
        </w:rPr>
        <w:t>69</w:t>
      </w:r>
      <w:r w:rsidRPr="0036253B">
        <w:t>; ggf. ist insoweit also i. R. der Vorsatzprüfung die inzidente Prüfung eines Versuchsbeginns vonnöten.</w:t>
      </w:r>
    </w:p>
    <w:p w:rsidR="0036253B" w:rsidRPr="0036253B" w:rsidRDefault="0036253B" w:rsidP="0036253B">
      <w:pPr>
        <w:jc w:val="both"/>
      </w:pPr>
      <w:r w:rsidRPr="0036253B">
        <w:rPr>
          <w:i/>
          <w:iCs/>
        </w:rPr>
        <w:t>Beispiel</w:t>
      </w:r>
      <w:r w:rsidRPr="0036253B">
        <w:t xml:space="preserve"> </w:t>
      </w:r>
      <w:r w:rsidRPr="0036253B">
        <w:rPr>
          <w:vertAlign w:val="superscript"/>
        </w:rPr>
        <w:t>70</w:t>
      </w:r>
      <w:r w:rsidRPr="0036253B">
        <w:t xml:space="preserve">: </w:t>
      </w:r>
      <w:r w:rsidRPr="0036253B">
        <w:rPr>
          <w:i/>
          <w:iCs/>
        </w:rPr>
        <w:t>A</w:t>
      </w:r>
      <w:r w:rsidRPr="0036253B">
        <w:t xml:space="preserve"> führt den Tod seiner Ehefrau </w:t>
      </w:r>
      <w:r w:rsidRPr="0036253B">
        <w:rPr>
          <w:i/>
          <w:iCs/>
        </w:rPr>
        <w:t>F</w:t>
      </w:r>
      <w:r w:rsidRPr="0036253B">
        <w:t xml:space="preserve"> bereits durch ihre Knebelung herbei, während ihre Tötung erst nach einem längeren Transport der </w:t>
      </w:r>
      <w:r w:rsidRPr="0036253B">
        <w:rPr>
          <w:i/>
          <w:iCs/>
        </w:rPr>
        <w:t>F</w:t>
      </w:r>
      <w:r w:rsidRPr="0036253B">
        <w:t xml:space="preserve"> und dem Abpressen einer Unterschrift (Konto-Vollmacht) erfolgen sollte: Da der Todeserfolg schon durch eine Vorbereitungshandlung – das Erreichen des ins Auge gefassten Tatorts und das Abnötigen der Unterschrift stellten auch aus Sicht des </w:t>
      </w:r>
      <w:r w:rsidRPr="0036253B">
        <w:rPr>
          <w:i/>
          <w:iCs/>
        </w:rPr>
        <w:t>A</w:t>
      </w:r>
      <w:r w:rsidRPr="0036253B">
        <w:t xml:space="preserve"> wesentliche Zwischenakte dar – herbeigeführt wurde, kommt insoweit nur eine Verurteilung wegen Fahrlässigkeitstat</w:t>
      </w:r>
      <w:r w:rsidRPr="0036253B">
        <w:rPr>
          <w:vertAlign w:val="superscript"/>
        </w:rPr>
        <w:t>71</w:t>
      </w:r>
      <w:r w:rsidRPr="0036253B">
        <w:t xml:space="preserve"> in Betracht</w:t>
      </w:r>
      <w:r w:rsidRPr="0036253B">
        <w:rPr>
          <w:vertAlign w:val="superscript"/>
        </w:rPr>
        <w:t>72</w:t>
      </w:r>
      <w:r w:rsidRPr="0036253B">
        <w:t xml:space="preserve">, da der Tod der </w:t>
      </w:r>
      <w:r w:rsidRPr="0036253B">
        <w:rPr>
          <w:i/>
          <w:iCs/>
        </w:rPr>
        <w:t>F</w:t>
      </w:r>
      <w:r w:rsidRPr="0036253B">
        <w:t xml:space="preserve"> nicht auf einer ja erst mit Versuchsbeginn einsetzenden vorsätzlichen Tatbestandshandlung beruhte. – Vorsatzstrafbarkeit entfällt auch in Fällen, in denen dem Täter ein Tatumstand einer später verübten Tat ursprünglich bekannt war, er aber zur Tatzeit nicht daran denkt</w:t>
      </w:r>
      <w:r w:rsidRPr="0036253B">
        <w:rPr>
          <w:vertAlign w:val="superscript"/>
        </w:rPr>
        <w:t>73</w:t>
      </w:r>
      <w:r w:rsidRPr="0036253B">
        <w:t>, selbst wenn er dieses Wissen hätte reproduzieren können, so z. B. wenn der Täter früher einmal das Alter des missbrauchten Mädchens (§ 176) kannte, ihm dies zur Tatzeit aber nicht mehr bewusst war.</w:t>
      </w:r>
    </w:p>
    <w:p w:rsidR="0036253B" w:rsidRPr="0036253B" w:rsidRDefault="0036253B" w:rsidP="0036253B">
      <w:pPr>
        <w:jc w:val="both"/>
      </w:pPr>
      <w:r w:rsidRPr="0036253B">
        <w:t>980</w:t>
      </w:r>
    </w:p>
    <w:p w:rsidR="0036253B" w:rsidRPr="0036253B" w:rsidRDefault="0036253B" w:rsidP="0036253B">
      <w:pPr>
        <w:jc w:val="both"/>
      </w:pPr>
      <w:r w:rsidRPr="0036253B">
        <w:t xml:space="preserve">Ebenso unbeachtlich ist aber auch ein der Tatbestandshandlung erst nachfolgender Vorsatz (sog. </w:t>
      </w:r>
      <w:proofErr w:type="spellStart"/>
      <w:r w:rsidRPr="0036253B">
        <w:rPr>
          <w:i/>
          <w:iCs/>
        </w:rPr>
        <w:t>dolus</w:t>
      </w:r>
      <w:proofErr w:type="spellEnd"/>
      <w:r w:rsidRPr="0036253B">
        <w:rPr>
          <w:i/>
          <w:iCs/>
        </w:rPr>
        <w:t xml:space="preserve"> </w:t>
      </w:r>
      <w:proofErr w:type="spellStart"/>
      <w:r w:rsidRPr="0036253B">
        <w:rPr>
          <w:i/>
          <w:iCs/>
        </w:rPr>
        <w:t>subsequens</w:t>
      </w:r>
      <w:proofErr w:type="spellEnd"/>
      <w:r w:rsidRPr="0036253B">
        <w:t>)</w:t>
      </w:r>
      <w:r w:rsidRPr="0036253B">
        <w:rPr>
          <w:vertAlign w:val="superscript"/>
        </w:rPr>
        <w:t>74</w:t>
      </w:r>
      <w:r w:rsidRPr="0036253B">
        <w:t>:</w:t>
      </w:r>
    </w:p>
    <w:p w:rsidR="0036253B" w:rsidRPr="0036253B" w:rsidRDefault="0036253B" w:rsidP="0036253B">
      <w:pPr>
        <w:jc w:val="both"/>
      </w:pPr>
      <w:r w:rsidRPr="0036253B">
        <w:t xml:space="preserve">Hätte also im oben zum </w:t>
      </w:r>
      <w:proofErr w:type="spellStart"/>
      <w:r w:rsidRPr="0036253B">
        <w:t>dolus</w:t>
      </w:r>
      <w:proofErr w:type="spellEnd"/>
      <w:r w:rsidRPr="0036253B">
        <w:t xml:space="preserve"> </w:t>
      </w:r>
      <w:proofErr w:type="spellStart"/>
      <w:r w:rsidRPr="0036253B">
        <w:t>antecedens</w:t>
      </w:r>
      <w:proofErr w:type="spellEnd"/>
      <w:r w:rsidRPr="0036253B">
        <w:t xml:space="preserve"> genannten </w:t>
      </w:r>
      <w:r w:rsidRPr="0036253B">
        <w:rPr>
          <w:i/>
          <w:iCs/>
        </w:rPr>
        <w:t>Beispiel</w:t>
      </w:r>
      <w:r w:rsidRPr="0036253B">
        <w:t xml:space="preserve"> der </w:t>
      </w:r>
      <w:r w:rsidRPr="0036253B">
        <w:rPr>
          <w:i/>
          <w:iCs/>
        </w:rPr>
        <w:t>A</w:t>
      </w:r>
      <w:r w:rsidRPr="0036253B">
        <w:t xml:space="preserve">, als er nach Öffnen des Kofferraums den Tod der geknebelten </w:t>
      </w:r>
      <w:r w:rsidRPr="0036253B">
        <w:rPr>
          <w:i/>
          <w:iCs/>
        </w:rPr>
        <w:t>F</w:t>
      </w:r>
      <w:r w:rsidRPr="0036253B">
        <w:t xml:space="preserve"> feststellte, sich hierüber gefreut, da ihm nun erspart blieb, sich selbst „die Hände schmutzig zu machen“, so würde diese nachträgliche Billigung auch nach Auffassung der Rechtsprechung</w:t>
      </w:r>
      <w:r w:rsidRPr="0036253B">
        <w:rPr>
          <w:vertAlign w:val="superscript"/>
        </w:rPr>
        <w:t>75</w:t>
      </w:r>
      <w:r w:rsidRPr="0036253B">
        <w:t xml:space="preserve"> nicht etwa zur Annahme eines vorsätzlichen Tötungsdeliktes führen</w:t>
      </w:r>
      <w:r w:rsidRPr="0036253B">
        <w:rPr>
          <w:vertAlign w:val="superscript"/>
        </w:rPr>
        <w:t>76</w:t>
      </w:r>
      <w:r w:rsidRPr="0036253B">
        <w:t>. – Ebenso wenig könnte wegen Hehlerei bestraft werden, wer eine gestohlene Sache gutgläubig erwirbt und erst später ihre Herkunft erfährt (ggf. aber Strafbarkeit wegen Unterschlagung).</w:t>
      </w:r>
    </w:p>
    <w:p w:rsidR="0036253B" w:rsidRPr="0036253B" w:rsidRDefault="0036253B" w:rsidP="0036253B">
      <w:pPr>
        <w:jc w:val="both"/>
      </w:pPr>
      <w:r w:rsidRPr="0036253B">
        <w:t xml:space="preserve">Hiervon zu unterscheiden ist der </w:t>
      </w:r>
      <w:r w:rsidRPr="0036253B">
        <w:rPr>
          <w:i/>
          <w:iCs/>
        </w:rPr>
        <w:t>Fortfall</w:t>
      </w:r>
      <w:r w:rsidRPr="0036253B">
        <w:t xml:space="preserve"> eines zur Zeit der Tathandlung noch vorhandenen Vorsatzes vor Eintritt des Erfolgs. In diesen Fällen bleibt die Vorsatzstrafbarkeit unberührt</w:t>
      </w:r>
      <w:r w:rsidRPr="0036253B">
        <w:rPr>
          <w:vertAlign w:val="superscript"/>
        </w:rPr>
        <w:t>77</w:t>
      </w:r>
      <w:r w:rsidRPr="0036253B">
        <w:t>.</w:t>
      </w:r>
    </w:p>
    <w:p w:rsidR="0036253B" w:rsidRPr="0036253B" w:rsidRDefault="0036253B" w:rsidP="0036253B">
      <w:pPr>
        <w:jc w:val="both"/>
      </w:pPr>
      <w:r w:rsidRPr="0036253B">
        <w:t xml:space="preserve">Hätte </w:t>
      </w:r>
      <w:r w:rsidRPr="0036253B">
        <w:rPr>
          <w:i/>
          <w:iCs/>
        </w:rPr>
        <w:t>A</w:t>
      </w:r>
      <w:r w:rsidRPr="0036253B">
        <w:t xml:space="preserve"> die </w:t>
      </w:r>
      <w:r w:rsidRPr="0036253B">
        <w:rPr>
          <w:i/>
          <w:iCs/>
        </w:rPr>
        <w:t>F</w:t>
      </w:r>
      <w:r w:rsidRPr="0036253B">
        <w:t xml:space="preserve"> in Abwandlung des </w:t>
      </w:r>
      <w:r w:rsidRPr="0036253B">
        <w:rPr>
          <w:i/>
          <w:iCs/>
        </w:rPr>
        <w:t>Beispiels</w:t>
      </w:r>
      <w:r w:rsidRPr="0036253B">
        <w:t xml:space="preserve"> mit Tötungsvorsatz niedergeschlagen, so wäre er bei Versterben der </w:t>
      </w:r>
      <w:r w:rsidRPr="0036253B">
        <w:rPr>
          <w:i/>
          <w:iCs/>
        </w:rPr>
        <w:t>F</w:t>
      </w:r>
      <w:r w:rsidRPr="0036253B">
        <w:t xml:space="preserve"> auch dann wegen eines vorsätzlich verübten Tötungsdelikts zu bestrafen, wenn er nach seiner Tathandlung, aber noch vor Erfolgseintritt, inständig auf ein Überleben der </w:t>
      </w:r>
      <w:r w:rsidRPr="0036253B">
        <w:rPr>
          <w:i/>
          <w:iCs/>
        </w:rPr>
        <w:t>F</w:t>
      </w:r>
      <w:r w:rsidRPr="0036253B">
        <w:t xml:space="preserve"> gehofft hätte</w:t>
      </w:r>
      <w:r w:rsidRPr="0036253B">
        <w:rPr>
          <w:vertAlign w:val="superscript"/>
        </w:rPr>
        <w:t>78</w:t>
      </w:r>
      <w:r w:rsidRPr="0036253B">
        <w:t>. Dies ergibt sich auch aus der Regelung des § 24 I 1 Var. 2, die nur denjenigen wegen Rücktritts vom Versuch</w:t>
      </w:r>
      <w:r w:rsidRPr="0036253B">
        <w:rPr>
          <w:vertAlign w:val="superscript"/>
        </w:rPr>
        <w:t>79</w:t>
      </w:r>
      <w:r w:rsidRPr="0036253B">
        <w:t xml:space="preserve"> straflos stellt, dem es gelingt, (nach Aufgabe seines Tatvorsatzes) den Taterfolg zu verhindern. </w:t>
      </w:r>
    </w:p>
    <w:p w:rsidR="0036253B" w:rsidRPr="0036253B" w:rsidRDefault="0036253B" w:rsidP="0036253B">
      <w:pPr>
        <w:jc w:val="both"/>
      </w:pPr>
      <w:r w:rsidRPr="0036253B">
        <w:t xml:space="preserve">Bei </w:t>
      </w:r>
      <w:r w:rsidRPr="0036253B">
        <w:rPr>
          <w:i/>
          <w:iCs/>
        </w:rPr>
        <w:t>zweiaktigen Delikten</w:t>
      </w:r>
      <w:r w:rsidRPr="0036253B">
        <w:t xml:space="preserve"> (z. B. §§ 249, 252) ist hinsichtlich des Vorsatzes zu unterscheiden</w:t>
      </w:r>
      <w:r w:rsidRPr="0036253B">
        <w:rPr>
          <w:vertAlign w:val="superscript"/>
        </w:rPr>
        <w:t>80</w:t>
      </w:r>
      <w:r w:rsidRPr="0036253B">
        <w:t xml:space="preserve">: Handelt es sich um ein sog. echtes zweiaktiges Delikt, bei dem eine subjektive Verknüpfung der beiden Teilakte vom Gesetzgeber vorausgesetzt wird (z. B. §§ 177, 249), so muss der Täter bereits beim ersten Teilakt des Delikts den Vorsatz zur Begehung des zweiten Teilakts haben; so muss z. B. beim Raub der </w:t>
      </w:r>
      <w:proofErr w:type="spellStart"/>
      <w:r w:rsidRPr="0036253B">
        <w:t>Wegnahmevorsatz</w:t>
      </w:r>
      <w:proofErr w:type="spellEnd"/>
      <w:r w:rsidRPr="0036253B">
        <w:t xml:space="preserve"> schon bei Begehung des ersten Teilakts (etwa der Gewaltanwendung) gefasst sein</w:t>
      </w:r>
      <w:r w:rsidRPr="0036253B">
        <w:rPr>
          <w:vertAlign w:val="superscript"/>
        </w:rPr>
        <w:t>81</w:t>
      </w:r>
      <w:r w:rsidRPr="0036253B">
        <w:t>. Bei § 252 hingegen handelt es sich um ein sog. unechtes zweiaktiges Delikt, bei dem eine tatbestandliche subjektive Verknüpfung nicht vorausgesetzt wird; dementsprechend reicht es aus, dass der Vorsatz zur Begehung der beutesichernden Nötigung erst nach dem Diebstahl gefasst wird</w:t>
      </w:r>
      <w:r w:rsidRPr="0036253B">
        <w:rPr>
          <w:vertAlign w:val="superscript"/>
        </w:rPr>
        <w:t>82</w:t>
      </w:r>
      <w:r w:rsidRPr="0036253B">
        <w:t>.</w:t>
      </w:r>
    </w:p>
    <w:p w:rsidR="0036253B" w:rsidRPr="0036253B" w:rsidRDefault="008A7879" w:rsidP="0036253B">
      <w:pPr>
        <w:jc w:val="both"/>
      </w:pPr>
      <w:r>
        <w:pict>
          <v:rect id="_x0000_i1025" style="width:0;height:1.5pt" o:hralign="center" o:hrstd="t" o:hrnoshade="t" o:hr="t" fillcolor="#a0a0a0" stroked="f"/>
        </w:pict>
      </w:r>
    </w:p>
    <w:p w:rsidR="0036253B" w:rsidRPr="0036253B" w:rsidRDefault="0036253B" w:rsidP="0036253B">
      <w:pPr>
        <w:jc w:val="both"/>
      </w:pPr>
      <w:r w:rsidRPr="0036253B">
        <w:rPr>
          <w:vertAlign w:val="superscript"/>
        </w:rPr>
        <w:t>*</w:t>
      </w:r>
      <w:r w:rsidRPr="0036253B">
        <w:t> </w:t>
      </w:r>
    </w:p>
    <w:p w:rsidR="0036253B" w:rsidRPr="0036253B" w:rsidRDefault="0036253B" w:rsidP="0036253B">
      <w:pPr>
        <w:jc w:val="both"/>
      </w:pPr>
      <w:r w:rsidRPr="0036253B">
        <w:t>Schluss aus JuS 2012, 884. – Der Autor ist Inhaber eines Lehrstuhls für Strafrecht und Strafprozessrecht an der Juristischen Fakultät der Technischen Universität Dresden; die Autorin ist Wiss. Mitarbeiterin ebenda. – §§ ohne Gesetzesbezeichnung sind solche des StGB.</w:t>
      </w:r>
    </w:p>
    <w:p w:rsidR="0036253B" w:rsidRPr="0036253B" w:rsidRDefault="0036253B" w:rsidP="0036253B">
      <w:pPr>
        <w:jc w:val="both"/>
      </w:pPr>
      <w:r w:rsidRPr="0036253B">
        <w:rPr>
          <w:noProof/>
          <w:lang w:eastAsia="de-DE"/>
        </w:rPr>
        <w:drawing>
          <wp:inline distT="0" distB="0" distL="0" distR="0">
            <wp:extent cx="162560" cy="95250"/>
            <wp:effectExtent l="0" t="0" r="8890" b="0"/>
            <wp:docPr id="83" name="Grafik 83" descr="zurück zum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zurück zum Tex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2560" cy="95250"/>
                    </a:xfrm>
                    <a:prstGeom prst="rect">
                      <a:avLst/>
                    </a:prstGeom>
                    <a:noFill/>
                    <a:ln>
                      <a:noFill/>
                    </a:ln>
                  </pic:spPr>
                </pic:pic>
              </a:graphicData>
            </a:graphic>
          </wp:inline>
        </w:drawing>
      </w:r>
    </w:p>
    <w:p w:rsidR="0036253B" w:rsidRPr="0036253B" w:rsidRDefault="0036253B" w:rsidP="0036253B">
      <w:pPr>
        <w:jc w:val="both"/>
      </w:pPr>
      <w:r w:rsidRPr="0036253B">
        <w:rPr>
          <w:vertAlign w:val="superscript"/>
        </w:rPr>
        <w:t>1</w:t>
      </w:r>
      <w:r w:rsidRPr="0036253B">
        <w:t> </w:t>
      </w:r>
    </w:p>
    <w:p w:rsidR="0036253B" w:rsidRPr="0036253B" w:rsidRDefault="0036253B" w:rsidP="0036253B">
      <w:pPr>
        <w:jc w:val="both"/>
      </w:pPr>
      <w:r w:rsidRPr="0036253B">
        <w:rPr>
          <w:i/>
          <w:iCs/>
        </w:rPr>
        <w:t>Kühl</w:t>
      </w:r>
      <w:r w:rsidRPr="0036253B">
        <w:t xml:space="preserve">, AT, 6. Aufl. (2008), § 5 </w:t>
      </w:r>
      <w:proofErr w:type="spellStart"/>
      <w:r w:rsidRPr="0036253B">
        <w:t>Rdnr</w:t>
      </w:r>
      <w:proofErr w:type="spellEnd"/>
      <w:r w:rsidRPr="0036253B">
        <w:t xml:space="preserve">. 10; </w:t>
      </w:r>
      <w:proofErr w:type="spellStart"/>
      <w:r w:rsidRPr="0036253B">
        <w:rPr>
          <w:i/>
          <w:iCs/>
        </w:rPr>
        <w:t>Satzger</w:t>
      </w:r>
      <w:proofErr w:type="spellEnd"/>
      <w:r w:rsidRPr="0036253B">
        <w:t>, Jura 2008, 108 (111): Der Gesetzgeber (vgl. BT-</w:t>
      </w:r>
      <w:proofErr w:type="spellStart"/>
      <w:r w:rsidRPr="0036253B">
        <w:t>Dr</w:t>
      </w:r>
      <w:proofErr w:type="spellEnd"/>
      <w:r w:rsidRPr="0036253B">
        <w:t xml:space="preserve"> V/4095, S. 8, sowie </w:t>
      </w:r>
      <w:r w:rsidRPr="0036253B">
        <w:rPr>
          <w:i/>
          <w:iCs/>
        </w:rPr>
        <w:t>Vogel</w:t>
      </w:r>
      <w:r w:rsidRPr="0036253B">
        <w:t xml:space="preserve">, in: LK-StGB, 12. Aufl. [2006], </w:t>
      </w:r>
      <w:proofErr w:type="spellStart"/>
      <w:r w:rsidRPr="0036253B">
        <w:t>Vorb</w:t>
      </w:r>
      <w:proofErr w:type="spellEnd"/>
      <w:r w:rsidRPr="0036253B">
        <w:t xml:space="preserve">. § 15 </w:t>
      </w:r>
      <w:proofErr w:type="spellStart"/>
      <w:r w:rsidRPr="0036253B">
        <w:t>Rdnr</w:t>
      </w:r>
      <w:proofErr w:type="spellEnd"/>
      <w:r w:rsidRPr="0036253B">
        <w:t>. 7) wollte ja die Konturierung des Vorsatzbegriffs bewusst Rspr. u. Wissenschaft überlassen.</w:t>
      </w:r>
    </w:p>
    <w:p w:rsidR="0036253B" w:rsidRPr="0036253B" w:rsidRDefault="0036253B" w:rsidP="0036253B">
      <w:pPr>
        <w:jc w:val="both"/>
      </w:pPr>
      <w:r w:rsidRPr="0036253B">
        <w:rPr>
          <w:noProof/>
          <w:lang w:eastAsia="de-DE"/>
        </w:rPr>
        <w:drawing>
          <wp:inline distT="0" distB="0" distL="0" distR="0">
            <wp:extent cx="162560" cy="95250"/>
            <wp:effectExtent l="0" t="0" r="8890" b="0"/>
            <wp:docPr id="82" name="Grafik 82" descr="zurück zum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zurück zum Tex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2560" cy="95250"/>
                    </a:xfrm>
                    <a:prstGeom prst="rect">
                      <a:avLst/>
                    </a:prstGeom>
                    <a:noFill/>
                    <a:ln>
                      <a:noFill/>
                    </a:ln>
                  </pic:spPr>
                </pic:pic>
              </a:graphicData>
            </a:graphic>
          </wp:inline>
        </w:drawing>
      </w:r>
    </w:p>
    <w:p w:rsidR="0036253B" w:rsidRPr="0036253B" w:rsidRDefault="0036253B" w:rsidP="0036253B">
      <w:pPr>
        <w:jc w:val="both"/>
      </w:pPr>
      <w:r w:rsidRPr="0036253B">
        <w:rPr>
          <w:vertAlign w:val="superscript"/>
        </w:rPr>
        <w:t>2</w:t>
      </w:r>
      <w:r w:rsidRPr="0036253B">
        <w:t> </w:t>
      </w:r>
    </w:p>
    <w:p w:rsidR="0036253B" w:rsidRPr="0036253B" w:rsidRDefault="0036253B" w:rsidP="0036253B">
      <w:pPr>
        <w:jc w:val="both"/>
      </w:pPr>
      <w:r w:rsidRPr="0036253B">
        <w:t xml:space="preserve">Etwa </w:t>
      </w:r>
      <w:r w:rsidRPr="0036253B">
        <w:rPr>
          <w:i/>
          <w:iCs/>
        </w:rPr>
        <w:t>Puppe</w:t>
      </w:r>
      <w:r w:rsidRPr="0036253B">
        <w:t xml:space="preserve">, in: NK-StGB, 3. Aufl. (2010), § 15 </w:t>
      </w:r>
      <w:proofErr w:type="spellStart"/>
      <w:r w:rsidRPr="0036253B">
        <w:t>Rdnrn</w:t>
      </w:r>
      <w:proofErr w:type="spellEnd"/>
      <w:r w:rsidRPr="0036253B">
        <w:t xml:space="preserve">. 71, 78 f.; anders wäre auf d. Basis d. ebenfalls ein </w:t>
      </w:r>
      <w:proofErr w:type="spellStart"/>
      <w:r w:rsidRPr="0036253B">
        <w:t>volunt</w:t>
      </w:r>
      <w:proofErr w:type="spellEnd"/>
      <w:r w:rsidRPr="0036253B">
        <w:t xml:space="preserve">. Vorsatzelement </w:t>
      </w:r>
      <w:proofErr w:type="spellStart"/>
      <w:r w:rsidRPr="0036253B">
        <w:t>abl.</w:t>
      </w:r>
      <w:proofErr w:type="spellEnd"/>
      <w:r w:rsidRPr="0036253B">
        <w:t xml:space="preserve"> Lösung v. </w:t>
      </w:r>
      <w:r w:rsidRPr="0036253B">
        <w:rPr>
          <w:i/>
          <w:iCs/>
        </w:rPr>
        <w:t>Herzberg</w:t>
      </w:r>
      <w:r w:rsidRPr="0036253B">
        <w:t xml:space="preserve">, JuS 1986, 249 (260 ff.), zu entscheiden, da </w:t>
      </w:r>
      <w:r w:rsidRPr="0036253B">
        <w:rPr>
          <w:i/>
          <w:iCs/>
        </w:rPr>
        <w:t>A</w:t>
      </w:r>
      <w:r w:rsidRPr="0036253B">
        <w:t xml:space="preserve"> immerhin in Kenntnis d. qualifizierten (ernstzunehmenden) Gefahr e. tödl. Schusswirkung handelte: Er schuf bewusst e. „</w:t>
      </w:r>
      <w:proofErr w:type="spellStart"/>
      <w:r w:rsidRPr="0036253B">
        <w:t>unabgeschirmte</w:t>
      </w:r>
      <w:proofErr w:type="spellEnd"/>
      <w:r w:rsidRPr="0036253B">
        <w:t xml:space="preserve"> Gefahr“, vgl. </w:t>
      </w:r>
      <w:r w:rsidRPr="0036253B">
        <w:rPr>
          <w:i/>
          <w:iCs/>
        </w:rPr>
        <w:t>Herzberg</w:t>
      </w:r>
      <w:r w:rsidRPr="0036253B">
        <w:t xml:space="preserve">, in </w:t>
      </w:r>
      <w:proofErr w:type="spellStart"/>
      <w:r w:rsidRPr="0036253B">
        <w:t>Festschr</w:t>
      </w:r>
      <w:proofErr w:type="spellEnd"/>
      <w:r w:rsidRPr="0036253B">
        <w:t>. f. Schwind, 2006, S. 317 ff. (330).</w:t>
      </w:r>
    </w:p>
    <w:p w:rsidR="0036253B" w:rsidRPr="0036253B" w:rsidRDefault="0036253B" w:rsidP="0036253B">
      <w:pPr>
        <w:jc w:val="both"/>
      </w:pPr>
      <w:r w:rsidRPr="0036253B">
        <w:rPr>
          <w:noProof/>
          <w:lang w:eastAsia="de-DE"/>
        </w:rPr>
        <w:drawing>
          <wp:inline distT="0" distB="0" distL="0" distR="0">
            <wp:extent cx="162560" cy="95250"/>
            <wp:effectExtent l="0" t="0" r="8890" b="0"/>
            <wp:docPr id="81" name="Grafik 81" descr="zurück zum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zurück zum Tex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2560" cy="95250"/>
                    </a:xfrm>
                    <a:prstGeom prst="rect">
                      <a:avLst/>
                    </a:prstGeom>
                    <a:noFill/>
                    <a:ln>
                      <a:noFill/>
                    </a:ln>
                  </pic:spPr>
                </pic:pic>
              </a:graphicData>
            </a:graphic>
          </wp:inline>
        </w:drawing>
      </w:r>
    </w:p>
    <w:p w:rsidR="0036253B" w:rsidRPr="0036253B" w:rsidRDefault="0036253B" w:rsidP="0036253B">
      <w:pPr>
        <w:jc w:val="both"/>
      </w:pPr>
      <w:r w:rsidRPr="0036253B">
        <w:rPr>
          <w:vertAlign w:val="superscript"/>
        </w:rPr>
        <w:t>3</w:t>
      </w:r>
      <w:r w:rsidRPr="0036253B">
        <w:t> </w:t>
      </w:r>
    </w:p>
    <w:p w:rsidR="0036253B" w:rsidRPr="0036253B" w:rsidRDefault="0036253B" w:rsidP="0036253B">
      <w:pPr>
        <w:jc w:val="both"/>
      </w:pPr>
      <w:r w:rsidRPr="0036253B">
        <w:t xml:space="preserve">Vgl. BGHSt 21, 283 (284 f.) = NJW 1967, 2319 (2320); </w:t>
      </w:r>
      <w:r w:rsidRPr="0036253B">
        <w:rPr>
          <w:i/>
          <w:iCs/>
        </w:rPr>
        <w:t>Lackner/Kühl</w:t>
      </w:r>
      <w:r w:rsidRPr="0036253B">
        <w:t xml:space="preserve">, StGB, 27. Aufl. (2011), § 15 </w:t>
      </w:r>
      <w:proofErr w:type="spellStart"/>
      <w:r w:rsidRPr="0036253B">
        <w:t>Rdnr</w:t>
      </w:r>
      <w:proofErr w:type="spellEnd"/>
      <w:r w:rsidRPr="0036253B">
        <w:t xml:space="preserve">. 20; </w:t>
      </w:r>
      <w:r w:rsidRPr="0036253B">
        <w:rPr>
          <w:i/>
          <w:iCs/>
        </w:rPr>
        <w:t>Roxin</w:t>
      </w:r>
      <w:r w:rsidRPr="0036253B">
        <w:t xml:space="preserve">, in: </w:t>
      </w:r>
      <w:proofErr w:type="spellStart"/>
      <w:r w:rsidRPr="0036253B">
        <w:t>Festschr</w:t>
      </w:r>
      <w:proofErr w:type="spellEnd"/>
      <w:r w:rsidRPr="0036253B">
        <w:t xml:space="preserve">. f. Rudolphi, 2004, S. 243 ff. (250 f.); </w:t>
      </w:r>
      <w:proofErr w:type="spellStart"/>
      <w:r w:rsidRPr="0036253B">
        <w:rPr>
          <w:i/>
          <w:iCs/>
        </w:rPr>
        <w:t>Stratenwerth</w:t>
      </w:r>
      <w:proofErr w:type="spellEnd"/>
      <w:r w:rsidRPr="0036253B">
        <w:rPr>
          <w:i/>
          <w:iCs/>
        </w:rPr>
        <w:t>/Kuhlen</w:t>
      </w:r>
      <w:r w:rsidRPr="0036253B">
        <w:t xml:space="preserve">, AT, 6. Aufl. (2011), § 8 </w:t>
      </w:r>
      <w:proofErr w:type="spellStart"/>
      <w:r w:rsidRPr="0036253B">
        <w:t>Rdnr</w:t>
      </w:r>
      <w:proofErr w:type="spellEnd"/>
      <w:r w:rsidRPr="0036253B">
        <w:t xml:space="preserve">. 102; anders </w:t>
      </w:r>
      <w:r w:rsidRPr="0036253B">
        <w:rPr>
          <w:i/>
          <w:iCs/>
        </w:rPr>
        <w:t>Vogel</w:t>
      </w:r>
      <w:r w:rsidRPr="0036253B">
        <w:t xml:space="preserve">, in: LK-StGB (o. </w:t>
      </w:r>
      <w:proofErr w:type="spellStart"/>
      <w:r w:rsidRPr="0036253B">
        <w:t>Fußn</w:t>
      </w:r>
      <w:proofErr w:type="spellEnd"/>
      <w:r w:rsidRPr="0036253B">
        <w:t xml:space="preserve">. 1), § 15 </w:t>
      </w:r>
      <w:proofErr w:type="spellStart"/>
      <w:r w:rsidRPr="0036253B">
        <w:t>Rdnr</w:t>
      </w:r>
      <w:proofErr w:type="spellEnd"/>
      <w:r w:rsidRPr="0036253B">
        <w:t xml:space="preserve">. 85, der </w:t>
      </w:r>
      <w:proofErr w:type="spellStart"/>
      <w:r w:rsidRPr="0036253B">
        <w:t>anges</w:t>
      </w:r>
      <w:proofErr w:type="spellEnd"/>
      <w:r w:rsidRPr="0036253B">
        <w:t xml:space="preserve">. d. „Sonderwollens“ nicht einmal diese </w:t>
      </w:r>
      <w:proofErr w:type="spellStart"/>
      <w:r w:rsidRPr="0036253B">
        <w:t>Möglichkeitsvorstellg</w:t>
      </w:r>
      <w:proofErr w:type="spellEnd"/>
      <w:r w:rsidRPr="0036253B">
        <w:t xml:space="preserve">. verlangt. </w:t>
      </w:r>
    </w:p>
    <w:p w:rsidR="0036253B" w:rsidRPr="0036253B" w:rsidRDefault="0036253B" w:rsidP="0036253B">
      <w:pPr>
        <w:jc w:val="both"/>
      </w:pPr>
      <w:r w:rsidRPr="0036253B">
        <w:rPr>
          <w:noProof/>
          <w:lang w:eastAsia="de-DE"/>
        </w:rPr>
        <w:drawing>
          <wp:inline distT="0" distB="0" distL="0" distR="0">
            <wp:extent cx="162560" cy="95250"/>
            <wp:effectExtent l="0" t="0" r="8890" b="0"/>
            <wp:docPr id="80" name="Grafik 80" descr="zurück zum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zurück zum Tex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2560" cy="95250"/>
                    </a:xfrm>
                    <a:prstGeom prst="rect">
                      <a:avLst/>
                    </a:prstGeom>
                    <a:noFill/>
                    <a:ln>
                      <a:noFill/>
                    </a:ln>
                  </pic:spPr>
                </pic:pic>
              </a:graphicData>
            </a:graphic>
          </wp:inline>
        </w:drawing>
      </w:r>
    </w:p>
    <w:p w:rsidR="0036253B" w:rsidRPr="0036253B" w:rsidRDefault="0036253B" w:rsidP="0036253B">
      <w:pPr>
        <w:jc w:val="both"/>
      </w:pPr>
      <w:r w:rsidRPr="0036253B">
        <w:rPr>
          <w:vertAlign w:val="superscript"/>
        </w:rPr>
        <w:t>4</w:t>
      </w:r>
      <w:r w:rsidRPr="0036253B">
        <w:t> </w:t>
      </w:r>
    </w:p>
    <w:p w:rsidR="0036253B" w:rsidRPr="0036253B" w:rsidRDefault="0036253B" w:rsidP="0036253B">
      <w:pPr>
        <w:jc w:val="both"/>
      </w:pPr>
      <w:r w:rsidRPr="0036253B">
        <w:rPr>
          <w:i/>
          <w:iCs/>
        </w:rPr>
        <w:t>Sternberg-Lieben</w:t>
      </w:r>
      <w:r w:rsidRPr="0036253B">
        <w:t xml:space="preserve">, in: </w:t>
      </w:r>
      <w:r w:rsidRPr="0036253B">
        <w:rPr>
          <w:i/>
          <w:iCs/>
        </w:rPr>
        <w:t>Schönke/Schröder</w:t>
      </w:r>
      <w:r w:rsidRPr="0036253B">
        <w:t xml:space="preserve">, StGB, 28. Aufl. (2010), § 15 </w:t>
      </w:r>
      <w:proofErr w:type="spellStart"/>
      <w:r w:rsidRPr="0036253B">
        <w:t>Rdnr</w:t>
      </w:r>
      <w:proofErr w:type="spellEnd"/>
      <w:r w:rsidRPr="0036253B">
        <w:t xml:space="preserve">. 7; s. auch </w:t>
      </w:r>
      <w:r w:rsidRPr="0036253B">
        <w:rPr>
          <w:i/>
          <w:iCs/>
        </w:rPr>
        <w:t>Vogel</w:t>
      </w:r>
      <w:r w:rsidRPr="0036253B">
        <w:t xml:space="preserve">, in: LK-StGB (o. </w:t>
      </w:r>
      <w:proofErr w:type="spellStart"/>
      <w:r w:rsidRPr="0036253B">
        <w:t>Fußn</w:t>
      </w:r>
      <w:proofErr w:type="spellEnd"/>
      <w:r w:rsidRPr="0036253B">
        <w:t xml:space="preserve">. 1), </w:t>
      </w:r>
      <w:proofErr w:type="spellStart"/>
      <w:r w:rsidRPr="0036253B">
        <w:t>Vorb</w:t>
      </w:r>
      <w:proofErr w:type="spellEnd"/>
      <w:r w:rsidRPr="0036253B">
        <w:t xml:space="preserve">. § 15 </w:t>
      </w:r>
      <w:proofErr w:type="spellStart"/>
      <w:r w:rsidRPr="0036253B">
        <w:t>Rdnrn</w:t>
      </w:r>
      <w:proofErr w:type="spellEnd"/>
      <w:r w:rsidRPr="0036253B">
        <w:t xml:space="preserve">. 59 ff.; </w:t>
      </w:r>
      <w:proofErr w:type="spellStart"/>
      <w:r w:rsidRPr="0036253B">
        <w:t>krit</w:t>
      </w:r>
      <w:proofErr w:type="spellEnd"/>
      <w:r w:rsidRPr="0036253B">
        <w:t xml:space="preserve">. </w:t>
      </w:r>
      <w:r w:rsidRPr="0036253B">
        <w:rPr>
          <w:i/>
          <w:iCs/>
        </w:rPr>
        <w:t>Schmidhäuser</w:t>
      </w:r>
      <w:r w:rsidRPr="0036253B">
        <w:t xml:space="preserve">, in: </w:t>
      </w:r>
      <w:proofErr w:type="spellStart"/>
      <w:r w:rsidRPr="0036253B">
        <w:t>Festschr</w:t>
      </w:r>
      <w:proofErr w:type="spellEnd"/>
      <w:r w:rsidRPr="0036253B">
        <w:t>. f. Oehler, 1985, S. 135 ff.</w:t>
      </w:r>
    </w:p>
    <w:p w:rsidR="0036253B" w:rsidRPr="0036253B" w:rsidRDefault="0036253B" w:rsidP="0036253B">
      <w:pPr>
        <w:jc w:val="both"/>
      </w:pPr>
      <w:r w:rsidRPr="0036253B">
        <w:rPr>
          <w:noProof/>
          <w:lang w:eastAsia="de-DE"/>
        </w:rPr>
        <w:drawing>
          <wp:inline distT="0" distB="0" distL="0" distR="0">
            <wp:extent cx="162560" cy="95250"/>
            <wp:effectExtent l="0" t="0" r="8890" b="0"/>
            <wp:docPr id="79" name="Grafik 79" descr="zurück zum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zurück zum Tex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2560" cy="95250"/>
                    </a:xfrm>
                    <a:prstGeom prst="rect">
                      <a:avLst/>
                    </a:prstGeom>
                    <a:noFill/>
                    <a:ln>
                      <a:noFill/>
                    </a:ln>
                  </pic:spPr>
                </pic:pic>
              </a:graphicData>
            </a:graphic>
          </wp:inline>
        </w:drawing>
      </w:r>
    </w:p>
    <w:p w:rsidR="0036253B" w:rsidRPr="0036253B" w:rsidRDefault="0036253B" w:rsidP="0036253B">
      <w:pPr>
        <w:jc w:val="both"/>
      </w:pPr>
      <w:r w:rsidRPr="0036253B">
        <w:rPr>
          <w:vertAlign w:val="superscript"/>
        </w:rPr>
        <w:t>5</w:t>
      </w:r>
      <w:r w:rsidRPr="0036253B">
        <w:t> </w:t>
      </w:r>
    </w:p>
    <w:p w:rsidR="0036253B" w:rsidRPr="0036253B" w:rsidRDefault="0036253B" w:rsidP="0036253B">
      <w:pPr>
        <w:jc w:val="both"/>
      </w:pPr>
      <w:proofErr w:type="spellStart"/>
      <w:r w:rsidRPr="0036253B">
        <w:rPr>
          <w:i/>
          <w:iCs/>
        </w:rPr>
        <w:t>Jescheck</w:t>
      </w:r>
      <w:proofErr w:type="spellEnd"/>
      <w:r w:rsidRPr="0036253B">
        <w:rPr>
          <w:i/>
          <w:iCs/>
        </w:rPr>
        <w:t>/</w:t>
      </w:r>
      <w:proofErr w:type="spellStart"/>
      <w:r w:rsidRPr="0036253B">
        <w:rPr>
          <w:i/>
          <w:iCs/>
        </w:rPr>
        <w:t>Weigend</w:t>
      </w:r>
      <w:proofErr w:type="spellEnd"/>
      <w:r w:rsidRPr="0036253B">
        <w:t xml:space="preserve">, AT, 5. Aufl. (1996), § 29 V 6 c; dies wird auch von der Etymologie des Vorsatzbegriffs gestützt: </w:t>
      </w:r>
      <w:proofErr w:type="spellStart"/>
      <w:r w:rsidRPr="0036253B">
        <w:rPr>
          <w:i/>
          <w:iCs/>
        </w:rPr>
        <w:t>Duttge</w:t>
      </w:r>
      <w:proofErr w:type="spellEnd"/>
      <w:r w:rsidRPr="0036253B">
        <w:t xml:space="preserve">, in: </w:t>
      </w:r>
      <w:proofErr w:type="spellStart"/>
      <w:r w:rsidRPr="0036253B">
        <w:rPr>
          <w:i/>
          <w:iCs/>
        </w:rPr>
        <w:t>Dölling</w:t>
      </w:r>
      <w:proofErr w:type="spellEnd"/>
      <w:r w:rsidRPr="0036253B">
        <w:rPr>
          <w:i/>
          <w:iCs/>
        </w:rPr>
        <w:t>/</w:t>
      </w:r>
      <w:proofErr w:type="spellStart"/>
      <w:r w:rsidRPr="0036253B">
        <w:rPr>
          <w:i/>
          <w:iCs/>
        </w:rPr>
        <w:t>Duttge</w:t>
      </w:r>
      <w:proofErr w:type="spellEnd"/>
      <w:r w:rsidRPr="0036253B">
        <w:rPr>
          <w:i/>
          <w:iCs/>
        </w:rPr>
        <w:t>/Rössner</w:t>
      </w:r>
      <w:r w:rsidRPr="0036253B">
        <w:t xml:space="preserve">, Ges. </w:t>
      </w:r>
      <w:proofErr w:type="spellStart"/>
      <w:r w:rsidRPr="0036253B">
        <w:t>StrafR</w:t>
      </w:r>
      <w:proofErr w:type="spellEnd"/>
      <w:r w:rsidRPr="0036253B">
        <w:t xml:space="preserve">, 2. Aufl. (2011), StGB § 15 </w:t>
      </w:r>
      <w:proofErr w:type="spellStart"/>
      <w:r w:rsidRPr="0036253B">
        <w:t>Rdnr</w:t>
      </w:r>
      <w:proofErr w:type="spellEnd"/>
      <w:r w:rsidRPr="0036253B">
        <w:t xml:space="preserve">. 11, im Anschl. an </w:t>
      </w:r>
      <w:proofErr w:type="spellStart"/>
      <w:r w:rsidRPr="0036253B">
        <w:rPr>
          <w:i/>
          <w:iCs/>
        </w:rPr>
        <w:t>Spendel</w:t>
      </w:r>
      <w:proofErr w:type="spellEnd"/>
      <w:r w:rsidRPr="0036253B">
        <w:t xml:space="preserve">, in: </w:t>
      </w:r>
      <w:proofErr w:type="spellStart"/>
      <w:r w:rsidRPr="0036253B">
        <w:t>Festschr</w:t>
      </w:r>
      <w:proofErr w:type="spellEnd"/>
      <w:r w:rsidRPr="0036253B">
        <w:t>. f. Lackner, 1987, S. 167 ff. (169 ff.).</w:t>
      </w:r>
    </w:p>
    <w:p w:rsidR="0036253B" w:rsidRPr="0036253B" w:rsidRDefault="0036253B" w:rsidP="0036253B">
      <w:pPr>
        <w:jc w:val="both"/>
      </w:pPr>
      <w:r w:rsidRPr="0036253B">
        <w:rPr>
          <w:noProof/>
          <w:lang w:eastAsia="de-DE"/>
        </w:rPr>
        <w:drawing>
          <wp:inline distT="0" distB="0" distL="0" distR="0">
            <wp:extent cx="162560" cy="95250"/>
            <wp:effectExtent l="0" t="0" r="8890" b="0"/>
            <wp:docPr id="78" name="Grafik 78" descr="zurück zum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zurück zum Tex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2560" cy="95250"/>
                    </a:xfrm>
                    <a:prstGeom prst="rect">
                      <a:avLst/>
                    </a:prstGeom>
                    <a:noFill/>
                    <a:ln>
                      <a:noFill/>
                    </a:ln>
                  </pic:spPr>
                </pic:pic>
              </a:graphicData>
            </a:graphic>
          </wp:inline>
        </w:drawing>
      </w:r>
    </w:p>
    <w:p w:rsidR="0036253B" w:rsidRPr="0036253B" w:rsidRDefault="0036253B" w:rsidP="0036253B">
      <w:pPr>
        <w:jc w:val="both"/>
      </w:pPr>
      <w:r w:rsidRPr="0036253B">
        <w:rPr>
          <w:vertAlign w:val="superscript"/>
        </w:rPr>
        <w:t>6</w:t>
      </w:r>
      <w:r w:rsidRPr="0036253B">
        <w:t> </w:t>
      </w:r>
    </w:p>
    <w:p w:rsidR="0036253B" w:rsidRPr="0036253B" w:rsidRDefault="0036253B" w:rsidP="0036253B">
      <w:pPr>
        <w:jc w:val="both"/>
      </w:pPr>
      <w:r w:rsidRPr="0036253B">
        <w:rPr>
          <w:i/>
          <w:iCs/>
        </w:rPr>
        <w:t>Hassemer</w:t>
      </w:r>
      <w:r w:rsidRPr="0036253B">
        <w:t xml:space="preserve">, in: </w:t>
      </w:r>
      <w:proofErr w:type="spellStart"/>
      <w:r w:rsidRPr="0036253B">
        <w:t>Gedächtnisschr</w:t>
      </w:r>
      <w:proofErr w:type="spellEnd"/>
      <w:r w:rsidRPr="0036253B">
        <w:t xml:space="preserve">. f. Armin Kaufmann, 1989, S. 289 ff. (295); </w:t>
      </w:r>
      <w:proofErr w:type="spellStart"/>
      <w:r w:rsidRPr="0036253B">
        <w:rPr>
          <w:i/>
          <w:iCs/>
        </w:rPr>
        <w:t>Stratenwerth</w:t>
      </w:r>
      <w:proofErr w:type="spellEnd"/>
      <w:r w:rsidRPr="0036253B">
        <w:rPr>
          <w:i/>
          <w:iCs/>
        </w:rPr>
        <w:t>/Kuhlen</w:t>
      </w:r>
      <w:r w:rsidRPr="0036253B">
        <w:t xml:space="preserve"> (o. </w:t>
      </w:r>
      <w:proofErr w:type="spellStart"/>
      <w:r w:rsidRPr="0036253B">
        <w:t>Fußn</w:t>
      </w:r>
      <w:proofErr w:type="spellEnd"/>
      <w:r w:rsidRPr="0036253B">
        <w:t xml:space="preserve">. 3), § 8 </w:t>
      </w:r>
      <w:proofErr w:type="spellStart"/>
      <w:r w:rsidRPr="0036253B">
        <w:t>Rdnr</w:t>
      </w:r>
      <w:proofErr w:type="spellEnd"/>
      <w:r w:rsidRPr="0036253B">
        <w:t xml:space="preserve">. 66; allerdings könnte diese Entscheidung auch in einem Handeln trotz Gefahrenkenntnis gesehen werden (so z. B. </w:t>
      </w:r>
      <w:r w:rsidRPr="0036253B">
        <w:rPr>
          <w:i/>
          <w:iCs/>
        </w:rPr>
        <w:t>Frisch</w:t>
      </w:r>
      <w:r w:rsidRPr="0036253B">
        <w:t xml:space="preserve">, Vorsatz u. Risiko, 1983, S. 482; </w:t>
      </w:r>
      <w:r w:rsidRPr="0036253B">
        <w:rPr>
          <w:i/>
          <w:iCs/>
        </w:rPr>
        <w:t>Schmidhäuser</w:t>
      </w:r>
      <w:r w:rsidRPr="0036253B">
        <w:t xml:space="preserve">, JuS 1980, 241 [244]), vgl. </w:t>
      </w:r>
      <w:r w:rsidRPr="0036253B">
        <w:rPr>
          <w:i/>
          <w:iCs/>
        </w:rPr>
        <w:t>Kühl</w:t>
      </w:r>
      <w:r w:rsidRPr="0036253B">
        <w:t xml:space="preserve"> (o. </w:t>
      </w:r>
      <w:proofErr w:type="spellStart"/>
      <w:r w:rsidRPr="0036253B">
        <w:t>Fußn</w:t>
      </w:r>
      <w:proofErr w:type="spellEnd"/>
      <w:r w:rsidRPr="0036253B">
        <w:t xml:space="preserve">. 1), § 5 </w:t>
      </w:r>
      <w:proofErr w:type="spellStart"/>
      <w:r w:rsidRPr="0036253B">
        <w:t>Rdnr</w:t>
      </w:r>
      <w:proofErr w:type="spellEnd"/>
      <w:r w:rsidRPr="0036253B">
        <w:t>. 60.</w:t>
      </w:r>
    </w:p>
    <w:p w:rsidR="0036253B" w:rsidRPr="0036253B" w:rsidRDefault="0036253B" w:rsidP="0036253B">
      <w:pPr>
        <w:jc w:val="both"/>
      </w:pPr>
      <w:r w:rsidRPr="0036253B">
        <w:rPr>
          <w:noProof/>
          <w:lang w:eastAsia="de-DE"/>
        </w:rPr>
        <w:drawing>
          <wp:inline distT="0" distB="0" distL="0" distR="0">
            <wp:extent cx="162560" cy="95250"/>
            <wp:effectExtent l="0" t="0" r="8890" b="0"/>
            <wp:docPr id="77" name="Grafik 77" descr="zurück zum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zurück zum Tex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2560" cy="95250"/>
                    </a:xfrm>
                    <a:prstGeom prst="rect">
                      <a:avLst/>
                    </a:prstGeom>
                    <a:noFill/>
                    <a:ln>
                      <a:noFill/>
                    </a:ln>
                  </pic:spPr>
                </pic:pic>
              </a:graphicData>
            </a:graphic>
          </wp:inline>
        </w:drawing>
      </w:r>
    </w:p>
    <w:p w:rsidR="0036253B" w:rsidRPr="0036253B" w:rsidRDefault="0036253B" w:rsidP="0036253B">
      <w:pPr>
        <w:jc w:val="both"/>
      </w:pPr>
      <w:r w:rsidRPr="0036253B">
        <w:rPr>
          <w:vertAlign w:val="superscript"/>
        </w:rPr>
        <w:t>7</w:t>
      </w:r>
      <w:r w:rsidRPr="0036253B">
        <w:t> </w:t>
      </w:r>
    </w:p>
    <w:p w:rsidR="0036253B" w:rsidRPr="0036253B" w:rsidRDefault="0036253B" w:rsidP="0036253B">
      <w:pPr>
        <w:jc w:val="both"/>
      </w:pPr>
      <w:r w:rsidRPr="0036253B">
        <w:t xml:space="preserve">Vgl. </w:t>
      </w:r>
      <w:r w:rsidRPr="0036253B">
        <w:rPr>
          <w:i/>
          <w:iCs/>
        </w:rPr>
        <w:t>Roxin</w:t>
      </w:r>
      <w:r w:rsidRPr="0036253B">
        <w:t xml:space="preserve">, AT I, 4. Aufl. (2006), § 12 </w:t>
      </w:r>
      <w:proofErr w:type="spellStart"/>
      <w:r w:rsidRPr="0036253B">
        <w:t>Rdnr</w:t>
      </w:r>
      <w:proofErr w:type="spellEnd"/>
      <w:r w:rsidRPr="0036253B">
        <w:t>. 23.</w:t>
      </w:r>
    </w:p>
    <w:p w:rsidR="0036253B" w:rsidRPr="0036253B" w:rsidRDefault="0036253B" w:rsidP="0036253B">
      <w:pPr>
        <w:jc w:val="both"/>
      </w:pPr>
      <w:r w:rsidRPr="0036253B">
        <w:rPr>
          <w:noProof/>
          <w:lang w:eastAsia="de-DE"/>
        </w:rPr>
        <w:drawing>
          <wp:inline distT="0" distB="0" distL="0" distR="0">
            <wp:extent cx="162560" cy="95250"/>
            <wp:effectExtent l="0" t="0" r="8890" b="0"/>
            <wp:docPr id="76" name="Grafik 76" descr="zurück zum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zurück zum Tex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2560" cy="95250"/>
                    </a:xfrm>
                    <a:prstGeom prst="rect">
                      <a:avLst/>
                    </a:prstGeom>
                    <a:noFill/>
                    <a:ln>
                      <a:noFill/>
                    </a:ln>
                  </pic:spPr>
                </pic:pic>
              </a:graphicData>
            </a:graphic>
          </wp:inline>
        </w:drawing>
      </w:r>
    </w:p>
    <w:p w:rsidR="0036253B" w:rsidRPr="0036253B" w:rsidRDefault="0036253B" w:rsidP="0036253B">
      <w:pPr>
        <w:jc w:val="both"/>
      </w:pPr>
      <w:r w:rsidRPr="0036253B">
        <w:rPr>
          <w:vertAlign w:val="superscript"/>
        </w:rPr>
        <w:t>8</w:t>
      </w:r>
      <w:r w:rsidRPr="0036253B">
        <w:t> </w:t>
      </w:r>
    </w:p>
    <w:p w:rsidR="0036253B" w:rsidRPr="0036253B" w:rsidRDefault="0036253B" w:rsidP="0036253B">
      <w:pPr>
        <w:jc w:val="both"/>
      </w:pPr>
      <w:proofErr w:type="spellStart"/>
      <w:r w:rsidRPr="0036253B">
        <w:t>Krit</w:t>
      </w:r>
      <w:proofErr w:type="spellEnd"/>
      <w:r w:rsidRPr="0036253B">
        <w:t xml:space="preserve">. aber </w:t>
      </w:r>
      <w:r w:rsidRPr="0036253B">
        <w:rPr>
          <w:i/>
          <w:iCs/>
        </w:rPr>
        <w:t>Puppe</w:t>
      </w:r>
      <w:r w:rsidRPr="0036253B">
        <w:t xml:space="preserve">, in: NK-StGB (o. </w:t>
      </w:r>
      <w:proofErr w:type="spellStart"/>
      <w:r w:rsidRPr="0036253B">
        <w:t>Fußn</w:t>
      </w:r>
      <w:proofErr w:type="spellEnd"/>
      <w:r w:rsidRPr="0036253B">
        <w:t xml:space="preserve">. 2), § 15 </w:t>
      </w:r>
      <w:proofErr w:type="spellStart"/>
      <w:r w:rsidRPr="0036253B">
        <w:t>Rdnr</w:t>
      </w:r>
      <w:proofErr w:type="spellEnd"/>
      <w:r w:rsidRPr="0036253B">
        <w:t xml:space="preserve">. 44 („völlige Unberechenbarkeit und Manipulierbarkeit der Entscheidung“); </w:t>
      </w:r>
      <w:r w:rsidRPr="0036253B">
        <w:rPr>
          <w:i/>
          <w:iCs/>
        </w:rPr>
        <w:t>dies.</w:t>
      </w:r>
      <w:r w:rsidRPr="0036253B">
        <w:t xml:space="preserve">, </w:t>
      </w:r>
      <w:proofErr w:type="spellStart"/>
      <w:r w:rsidRPr="0036253B">
        <w:t>StrafR</w:t>
      </w:r>
      <w:proofErr w:type="spellEnd"/>
      <w:r w:rsidRPr="0036253B">
        <w:t xml:space="preserve"> AT im Spiegel d. Rspr., 2. Aufl. (2011), § 9 </w:t>
      </w:r>
      <w:proofErr w:type="spellStart"/>
      <w:r w:rsidRPr="0036253B">
        <w:t>Rdnrn</w:t>
      </w:r>
      <w:proofErr w:type="spellEnd"/>
      <w:r w:rsidRPr="0036253B">
        <w:t>. 9 f., 16 ff.</w:t>
      </w:r>
    </w:p>
    <w:p w:rsidR="0036253B" w:rsidRPr="0036253B" w:rsidRDefault="0036253B" w:rsidP="0036253B">
      <w:pPr>
        <w:jc w:val="both"/>
      </w:pPr>
      <w:r w:rsidRPr="0036253B">
        <w:rPr>
          <w:noProof/>
          <w:lang w:eastAsia="de-DE"/>
        </w:rPr>
        <w:drawing>
          <wp:inline distT="0" distB="0" distL="0" distR="0">
            <wp:extent cx="162560" cy="95250"/>
            <wp:effectExtent l="0" t="0" r="8890" b="0"/>
            <wp:docPr id="75" name="Grafik 75" descr="zurück zum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zurück zum Tex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2560" cy="95250"/>
                    </a:xfrm>
                    <a:prstGeom prst="rect">
                      <a:avLst/>
                    </a:prstGeom>
                    <a:noFill/>
                    <a:ln>
                      <a:noFill/>
                    </a:ln>
                  </pic:spPr>
                </pic:pic>
              </a:graphicData>
            </a:graphic>
          </wp:inline>
        </w:drawing>
      </w:r>
    </w:p>
    <w:p w:rsidR="0036253B" w:rsidRPr="0036253B" w:rsidRDefault="0036253B" w:rsidP="0036253B">
      <w:pPr>
        <w:jc w:val="both"/>
      </w:pPr>
      <w:r w:rsidRPr="0036253B">
        <w:rPr>
          <w:vertAlign w:val="superscript"/>
        </w:rPr>
        <w:t>9</w:t>
      </w:r>
      <w:r w:rsidRPr="0036253B">
        <w:t> </w:t>
      </w:r>
    </w:p>
    <w:p w:rsidR="0036253B" w:rsidRPr="0036253B" w:rsidRDefault="0036253B" w:rsidP="0036253B">
      <w:pPr>
        <w:jc w:val="both"/>
      </w:pPr>
      <w:r w:rsidRPr="0036253B">
        <w:rPr>
          <w:i/>
          <w:iCs/>
        </w:rPr>
        <w:t>Rengier</w:t>
      </w:r>
      <w:r w:rsidRPr="0036253B">
        <w:t xml:space="preserve">, AT, 3. Aufl. (2011), § 14 </w:t>
      </w:r>
      <w:proofErr w:type="spellStart"/>
      <w:r w:rsidRPr="0036253B">
        <w:t>Rdnr</w:t>
      </w:r>
      <w:proofErr w:type="spellEnd"/>
      <w:r w:rsidRPr="0036253B">
        <w:t xml:space="preserve">. 30; </w:t>
      </w:r>
      <w:r w:rsidRPr="0036253B">
        <w:rPr>
          <w:i/>
          <w:iCs/>
        </w:rPr>
        <w:t>Wessels/</w:t>
      </w:r>
      <w:proofErr w:type="spellStart"/>
      <w:r w:rsidRPr="0036253B">
        <w:rPr>
          <w:i/>
          <w:iCs/>
        </w:rPr>
        <w:t>Beulke</w:t>
      </w:r>
      <w:proofErr w:type="spellEnd"/>
      <w:r w:rsidRPr="0036253B">
        <w:t xml:space="preserve">, AT, 41. Aufl. (2011), </w:t>
      </w:r>
      <w:proofErr w:type="spellStart"/>
      <w:r w:rsidRPr="0036253B">
        <w:t>Rdnr</w:t>
      </w:r>
      <w:proofErr w:type="spellEnd"/>
      <w:r w:rsidRPr="0036253B">
        <w:t>. 217.</w:t>
      </w:r>
    </w:p>
    <w:p w:rsidR="0036253B" w:rsidRPr="0036253B" w:rsidRDefault="0036253B" w:rsidP="0036253B">
      <w:pPr>
        <w:jc w:val="both"/>
      </w:pPr>
      <w:r w:rsidRPr="0036253B">
        <w:rPr>
          <w:noProof/>
          <w:lang w:eastAsia="de-DE"/>
        </w:rPr>
        <w:drawing>
          <wp:inline distT="0" distB="0" distL="0" distR="0">
            <wp:extent cx="162560" cy="95250"/>
            <wp:effectExtent l="0" t="0" r="8890" b="0"/>
            <wp:docPr id="74" name="Grafik 74" descr="zurück zum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zurück zum Tex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2560" cy="95250"/>
                    </a:xfrm>
                    <a:prstGeom prst="rect">
                      <a:avLst/>
                    </a:prstGeom>
                    <a:noFill/>
                    <a:ln>
                      <a:noFill/>
                    </a:ln>
                  </pic:spPr>
                </pic:pic>
              </a:graphicData>
            </a:graphic>
          </wp:inline>
        </w:drawing>
      </w:r>
    </w:p>
    <w:p w:rsidR="0036253B" w:rsidRPr="0036253B" w:rsidRDefault="0036253B" w:rsidP="0036253B">
      <w:pPr>
        <w:jc w:val="both"/>
      </w:pPr>
      <w:r w:rsidRPr="0036253B">
        <w:rPr>
          <w:vertAlign w:val="superscript"/>
        </w:rPr>
        <w:t>10</w:t>
      </w:r>
      <w:r w:rsidRPr="0036253B">
        <w:t> </w:t>
      </w:r>
    </w:p>
    <w:p w:rsidR="0036253B" w:rsidRPr="0036253B" w:rsidRDefault="0036253B" w:rsidP="0036253B">
      <w:pPr>
        <w:jc w:val="both"/>
      </w:pPr>
      <w:proofErr w:type="spellStart"/>
      <w:r w:rsidRPr="0036253B">
        <w:rPr>
          <w:i/>
          <w:iCs/>
        </w:rPr>
        <w:t>Stratenwerth</w:t>
      </w:r>
      <w:proofErr w:type="spellEnd"/>
      <w:r w:rsidRPr="0036253B">
        <w:rPr>
          <w:i/>
          <w:iCs/>
        </w:rPr>
        <w:t>/Kuhlen</w:t>
      </w:r>
      <w:r w:rsidRPr="0036253B">
        <w:t xml:space="preserve"> (o. </w:t>
      </w:r>
      <w:proofErr w:type="spellStart"/>
      <w:r w:rsidRPr="0036253B">
        <w:t>Fußn</w:t>
      </w:r>
      <w:proofErr w:type="spellEnd"/>
      <w:r w:rsidRPr="0036253B">
        <w:t xml:space="preserve">. 3), § 8 </w:t>
      </w:r>
      <w:proofErr w:type="spellStart"/>
      <w:r w:rsidRPr="0036253B">
        <w:t>Rdnr</w:t>
      </w:r>
      <w:proofErr w:type="spellEnd"/>
      <w:r w:rsidRPr="0036253B">
        <w:t>. 66.</w:t>
      </w:r>
    </w:p>
    <w:p w:rsidR="0036253B" w:rsidRPr="0036253B" w:rsidRDefault="0036253B" w:rsidP="0036253B">
      <w:pPr>
        <w:jc w:val="both"/>
      </w:pPr>
      <w:r w:rsidRPr="0036253B">
        <w:rPr>
          <w:noProof/>
          <w:lang w:eastAsia="de-DE"/>
        </w:rPr>
        <w:drawing>
          <wp:inline distT="0" distB="0" distL="0" distR="0">
            <wp:extent cx="162560" cy="95250"/>
            <wp:effectExtent l="0" t="0" r="8890" b="0"/>
            <wp:docPr id="73" name="Grafik 73" descr="zurück zum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zurück zum Tex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2560" cy="95250"/>
                    </a:xfrm>
                    <a:prstGeom prst="rect">
                      <a:avLst/>
                    </a:prstGeom>
                    <a:noFill/>
                    <a:ln>
                      <a:noFill/>
                    </a:ln>
                  </pic:spPr>
                </pic:pic>
              </a:graphicData>
            </a:graphic>
          </wp:inline>
        </w:drawing>
      </w:r>
    </w:p>
    <w:p w:rsidR="0036253B" w:rsidRPr="0036253B" w:rsidRDefault="0036253B" w:rsidP="0036253B">
      <w:pPr>
        <w:jc w:val="both"/>
      </w:pPr>
      <w:r w:rsidRPr="0036253B">
        <w:rPr>
          <w:vertAlign w:val="superscript"/>
        </w:rPr>
        <w:t>11</w:t>
      </w:r>
      <w:r w:rsidRPr="0036253B">
        <w:t> </w:t>
      </w:r>
    </w:p>
    <w:p w:rsidR="0036253B" w:rsidRPr="0036253B" w:rsidRDefault="0036253B" w:rsidP="0036253B">
      <w:pPr>
        <w:jc w:val="both"/>
      </w:pPr>
      <w:r w:rsidRPr="0036253B">
        <w:rPr>
          <w:i/>
          <w:iCs/>
        </w:rPr>
        <w:t>Küper</w:t>
      </w:r>
      <w:r w:rsidRPr="0036253B">
        <w:t xml:space="preserve">, GA 1987, 479 (507); </w:t>
      </w:r>
      <w:r w:rsidRPr="0036253B">
        <w:rPr>
          <w:i/>
          <w:iCs/>
        </w:rPr>
        <w:t>Roxin</w:t>
      </w:r>
      <w:r w:rsidRPr="0036253B">
        <w:t xml:space="preserve"> (o. </w:t>
      </w:r>
      <w:proofErr w:type="spellStart"/>
      <w:r w:rsidRPr="0036253B">
        <w:t>Fußn</w:t>
      </w:r>
      <w:proofErr w:type="spellEnd"/>
      <w:r w:rsidRPr="0036253B">
        <w:t xml:space="preserve">. 7), § 12 </w:t>
      </w:r>
      <w:proofErr w:type="spellStart"/>
      <w:r w:rsidRPr="0036253B">
        <w:t>Rdnr</w:t>
      </w:r>
      <w:proofErr w:type="spellEnd"/>
      <w:r w:rsidRPr="0036253B">
        <w:t>. 37.</w:t>
      </w:r>
    </w:p>
    <w:p w:rsidR="0036253B" w:rsidRPr="0036253B" w:rsidRDefault="0036253B" w:rsidP="0036253B">
      <w:pPr>
        <w:jc w:val="both"/>
      </w:pPr>
      <w:r w:rsidRPr="0036253B">
        <w:rPr>
          <w:noProof/>
          <w:lang w:eastAsia="de-DE"/>
        </w:rPr>
        <w:drawing>
          <wp:inline distT="0" distB="0" distL="0" distR="0">
            <wp:extent cx="162560" cy="95250"/>
            <wp:effectExtent l="0" t="0" r="8890" b="0"/>
            <wp:docPr id="72" name="Grafik 72" descr="zurück zum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zurück zum Tex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2560" cy="95250"/>
                    </a:xfrm>
                    <a:prstGeom prst="rect">
                      <a:avLst/>
                    </a:prstGeom>
                    <a:noFill/>
                    <a:ln>
                      <a:noFill/>
                    </a:ln>
                  </pic:spPr>
                </pic:pic>
              </a:graphicData>
            </a:graphic>
          </wp:inline>
        </w:drawing>
      </w:r>
    </w:p>
    <w:p w:rsidR="0036253B" w:rsidRPr="0036253B" w:rsidRDefault="0036253B" w:rsidP="0036253B">
      <w:pPr>
        <w:jc w:val="both"/>
      </w:pPr>
      <w:r w:rsidRPr="0036253B">
        <w:rPr>
          <w:vertAlign w:val="superscript"/>
        </w:rPr>
        <w:t>12</w:t>
      </w:r>
      <w:r w:rsidRPr="0036253B">
        <w:t> </w:t>
      </w:r>
    </w:p>
    <w:p w:rsidR="0036253B" w:rsidRPr="0036253B" w:rsidRDefault="0036253B" w:rsidP="0036253B">
      <w:pPr>
        <w:jc w:val="both"/>
      </w:pPr>
      <w:r w:rsidRPr="0036253B">
        <w:t xml:space="preserve">Tabellarische Übersicht bei </w:t>
      </w:r>
      <w:proofErr w:type="spellStart"/>
      <w:r w:rsidRPr="0036253B">
        <w:rPr>
          <w:i/>
          <w:iCs/>
        </w:rPr>
        <w:t>Kudlich</w:t>
      </w:r>
      <w:proofErr w:type="spellEnd"/>
      <w:r w:rsidRPr="0036253B">
        <w:t xml:space="preserve">, in: </w:t>
      </w:r>
      <w:proofErr w:type="spellStart"/>
      <w:r w:rsidRPr="0036253B">
        <w:t>BeckOK</w:t>
      </w:r>
      <w:proofErr w:type="spellEnd"/>
      <w:r w:rsidRPr="0036253B">
        <w:t xml:space="preserve">-StGB, 2011, § 15 </w:t>
      </w:r>
      <w:proofErr w:type="spellStart"/>
      <w:r w:rsidRPr="0036253B">
        <w:t>Rdnr</w:t>
      </w:r>
      <w:proofErr w:type="spellEnd"/>
      <w:r w:rsidRPr="0036253B">
        <w:t xml:space="preserve">. 17.1; </w:t>
      </w:r>
      <w:r w:rsidRPr="0036253B">
        <w:rPr>
          <w:i/>
          <w:iCs/>
        </w:rPr>
        <w:t>Murmann</w:t>
      </w:r>
      <w:r w:rsidRPr="0036253B">
        <w:t xml:space="preserve">, Grundkurs </w:t>
      </w:r>
      <w:proofErr w:type="spellStart"/>
      <w:r w:rsidRPr="0036253B">
        <w:t>StrafR</w:t>
      </w:r>
      <w:proofErr w:type="spellEnd"/>
      <w:r w:rsidRPr="0036253B">
        <w:t xml:space="preserve"> (2011), § 24 </w:t>
      </w:r>
      <w:proofErr w:type="spellStart"/>
      <w:r w:rsidRPr="0036253B">
        <w:t>Rdnr</w:t>
      </w:r>
      <w:proofErr w:type="spellEnd"/>
      <w:r w:rsidRPr="0036253B">
        <w:t>. 19.</w:t>
      </w:r>
    </w:p>
    <w:p w:rsidR="0036253B" w:rsidRPr="0036253B" w:rsidRDefault="0036253B" w:rsidP="0036253B">
      <w:pPr>
        <w:jc w:val="both"/>
      </w:pPr>
      <w:r w:rsidRPr="0036253B">
        <w:rPr>
          <w:noProof/>
          <w:lang w:eastAsia="de-DE"/>
        </w:rPr>
        <w:drawing>
          <wp:inline distT="0" distB="0" distL="0" distR="0">
            <wp:extent cx="162560" cy="95250"/>
            <wp:effectExtent l="0" t="0" r="8890" b="0"/>
            <wp:docPr id="71" name="Grafik 71" descr="zurück zum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zurück zum Tex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2560" cy="95250"/>
                    </a:xfrm>
                    <a:prstGeom prst="rect">
                      <a:avLst/>
                    </a:prstGeom>
                    <a:noFill/>
                    <a:ln>
                      <a:noFill/>
                    </a:ln>
                  </pic:spPr>
                </pic:pic>
              </a:graphicData>
            </a:graphic>
          </wp:inline>
        </w:drawing>
      </w:r>
    </w:p>
    <w:p w:rsidR="0036253B" w:rsidRPr="0036253B" w:rsidRDefault="0036253B" w:rsidP="0036253B">
      <w:pPr>
        <w:jc w:val="both"/>
      </w:pPr>
      <w:r w:rsidRPr="0036253B">
        <w:rPr>
          <w:vertAlign w:val="superscript"/>
        </w:rPr>
        <w:t>13</w:t>
      </w:r>
      <w:r w:rsidRPr="0036253B">
        <w:t> </w:t>
      </w:r>
    </w:p>
    <w:p w:rsidR="0036253B" w:rsidRPr="0036253B" w:rsidRDefault="0036253B" w:rsidP="0036253B">
      <w:pPr>
        <w:jc w:val="both"/>
      </w:pPr>
      <w:proofErr w:type="spellStart"/>
      <w:r w:rsidRPr="0036253B">
        <w:rPr>
          <w:i/>
          <w:iCs/>
        </w:rPr>
        <w:t>Kudlich</w:t>
      </w:r>
      <w:proofErr w:type="spellEnd"/>
      <w:r w:rsidRPr="0036253B">
        <w:t xml:space="preserve">, in: </w:t>
      </w:r>
      <w:proofErr w:type="spellStart"/>
      <w:r w:rsidRPr="0036253B">
        <w:t>BeckOK</w:t>
      </w:r>
      <w:proofErr w:type="spellEnd"/>
      <w:r w:rsidRPr="0036253B">
        <w:t xml:space="preserve">-StGB (o. </w:t>
      </w:r>
      <w:proofErr w:type="spellStart"/>
      <w:r w:rsidRPr="0036253B">
        <w:t>Fußn</w:t>
      </w:r>
      <w:proofErr w:type="spellEnd"/>
      <w:r w:rsidRPr="0036253B">
        <w:t xml:space="preserve">. 12), § 15 </w:t>
      </w:r>
      <w:proofErr w:type="spellStart"/>
      <w:r w:rsidRPr="0036253B">
        <w:t>Rdnr</w:t>
      </w:r>
      <w:proofErr w:type="spellEnd"/>
      <w:r w:rsidRPr="0036253B">
        <w:t>. 18 (allenfalls strafzumessungsrelevant).</w:t>
      </w:r>
    </w:p>
    <w:p w:rsidR="0036253B" w:rsidRPr="0036253B" w:rsidRDefault="0036253B" w:rsidP="0036253B">
      <w:pPr>
        <w:jc w:val="both"/>
      </w:pPr>
      <w:r w:rsidRPr="0036253B">
        <w:rPr>
          <w:noProof/>
          <w:lang w:eastAsia="de-DE"/>
        </w:rPr>
        <w:drawing>
          <wp:inline distT="0" distB="0" distL="0" distR="0">
            <wp:extent cx="162560" cy="95250"/>
            <wp:effectExtent l="0" t="0" r="8890" b="0"/>
            <wp:docPr id="70" name="Grafik 70" descr="zurück zum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zurück zum Tex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2560" cy="95250"/>
                    </a:xfrm>
                    <a:prstGeom prst="rect">
                      <a:avLst/>
                    </a:prstGeom>
                    <a:noFill/>
                    <a:ln>
                      <a:noFill/>
                    </a:ln>
                  </pic:spPr>
                </pic:pic>
              </a:graphicData>
            </a:graphic>
          </wp:inline>
        </w:drawing>
      </w:r>
    </w:p>
    <w:p w:rsidR="0036253B" w:rsidRPr="0036253B" w:rsidRDefault="0036253B" w:rsidP="0036253B">
      <w:pPr>
        <w:jc w:val="both"/>
      </w:pPr>
      <w:r w:rsidRPr="0036253B">
        <w:rPr>
          <w:vertAlign w:val="superscript"/>
        </w:rPr>
        <w:t>14</w:t>
      </w:r>
      <w:r w:rsidRPr="0036253B">
        <w:t> </w:t>
      </w:r>
    </w:p>
    <w:p w:rsidR="0036253B" w:rsidRPr="0036253B" w:rsidRDefault="0036253B" w:rsidP="0036253B">
      <w:pPr>
        <w:jc w:val="both"/>
      </w:pPr>
      <w:r w:rsidRPr="0036253B">
        <w:rPr>
          <w:i/>
          <w:iCs/>
        </w:rPr>
        <w:t>Murmann</w:t>
      </w:r>
      <w:r w:rsidRPr="0036253B">
        <w:t xml:space="preserve"> (o. </w:t>
      </w:r>
      <w:proofErr w:type="spellStart"/>
      <w:r w:rsidRPr="0036253B">
        <w:t>Fußn</w:t>
      </w:r>
      <w:proofErr w:type="spellEnd"/>
      <w:r w:rsidRPr="0036253B">
        <w:t xml:space="preserve">. 12), § 24 </w:t>
      </w:r>
      <w:proofErr w:type="spellStart"/>
      <w:r w:rsidRPr="0036253B">
        <w:t>Rdnr</w:t>
      </w:r>
      <w:proofErr w:type="spellEnd"/>
      <w:r w:rsidRPr="0036253B">
        <w:t>. 20.</w:t>
      </w:r>
    </w:p>
    <w:p w:rsidR="0036253B" w:rsidRPr="0036253B" w:rsidRDefault="0036253B" w:rsidP="0036253B">
      <w:pPr>
        <w:jc w:val="both"/>
      </w:pPr>
      <w:r w:rsidRPr="0036253B">
        <w:rPr>
          <w:noProof/>
          <w:lang w:eastAsia="de-DE"/>
        </w:rPr>
        <w:drawing>
          <wp:inline distT="0" distB="0" distL="0" distR="0">
            <wp:extent cx="162560" cy="95250"/>
            <wp:effectExtent l="0" t="0" r="8890" b="0"/>
            <wp:docPr id="69" name="Grafik 69" descr="zurück zum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zurück zum Tex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2560" cy="95250"/>
                    </a:xfrm>
                    <a:prstGeom prst="rect">
                      <a:avLst/>
                    </a:prstGeom>
                    <a:noFill/>
                    <a:ln>
                      <a:noFill/>
                    </a:ln>
                  </pic:spPr>
                </pic:pic>
              </a:graphicData>
            </a:graphic>
          </wp:inline>
        </w:drawing>
      </w:r>
    </w:p>
    <w:p w:rsidR="0036253B" w:rsidRPr="0036253B" w:rsidRDefault="0036253B" w:rsidP="0036253B">
      <w:pPr>
        <w:jc w:val="both"/>
      </w:pPr>
      <w:r w:rsidRPr="0036253B">
        <w:rPr>
          <w:vertAlign w:val="superscript"/>
        </w:rPr>
        <w:t>15</w:t>
      </w:r>
      <w:r w:rsidRPr="0036253B">
        <w:t> </w:t>
      </w:r>
    </w:p>
    <w:p w:rsidR="0036253B" w:rsidRPr="0036253B" w:rsidRDefault="0036253B" w:rsidP="0036253B">
      <w:pPr>
        <w:jc w:val="both"/>
      </w:pPr>
      <w:r w:rsidRPr="0036253B">
        <w:rPr>
          <w:i/>
          <w:iCs/>
        </w:rPr>
        <w:t>Kühl</w:t>
      </w:r>
      <w:r w:rsidRPr="0036253B">
        <w:t xml:space="preserve"> (o. </w:t>
      </w:r>
      <w:proofErr w:type="spellStart"/>
      <w:r w:rsidRPr="0036253B">
        <w:t>Fußn</w:t>
      </w:r>
      <w:proofErr w:type="spellEnd"/>
      <w:r w:rsidRPr="0036253B">
        <w:t xml:space="preserve">. 1), § 5 </w:t>
      </w:r>
      <w:proofErr w:type="spellStart"/>
      <w:r w:rsidRPr="0036253B">
        <w:t>Rdnr</w:t>
      </w:r>
      <w:proofErr w:type="spellEnd"/>
      <w:r w:rsidRPr="0036253B">
        <w:t>. 33.</w:t>
      </w:r>
    </w:p>
    <w:p w:rsidR="0036253B" w:rsidRPr="0036253B" w:rsidRDefault="0036253B" w:rsidP="0036253B">
      <w:pPr>
        <w:jc w:val="both"/>
      </w:pPr>
      <w:r w:rsidRPr="0036253B">
        <w:rPr>
          <w:noProof/>
          <w:lang w:eastAsia="de-DE"/>
        </w:rPr>
        <w:drawing>
          <wp:inline distT="0" distB="0" distL="0" distR="0">
            <wp:extent cx="162560" cy="95250"/>
            <wp:effectExtent l="0" t="0" r="8890" b="0"/>
            <wp:docPr id="68" name="Grafik 68" descr="zurück zum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zurück zum Tex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2560" cy="95250"/>
                    </a:xfrm>
                    <a:prstGeom prst="rect">
                      <a:avLst/>
                    </a:prstGeom>
                    <a:noFill/>
                    <a:ln>
                      <a:noFill/>
                    </a:ln>
                  </pic:spPr>
                </pic:pic>
              </a:graphicData>
            </a:graphic>
          </wp:inline>
        </w:drawing>
      </w:r>
    </w:p>
    <w:p w:rsidR="0036253B" w:rsidRPr="0036253B" w:rsidRDefault="0036253B" w:rsidP="0036253B">
      <w:pPr>
        <w:jc w:val="both"/>
      </w:pPr>
      <w:r w:rsidRPr="0036253B">
        <w:rPr>
          <w:vertAlign w:val="superscript"/>
        </w:rPr>
        <w:t>16</w:t>
      </w:r>
      <w:r w:rsidRPr="0036253B">
        <w:t> </w:t>
      </w:r>
    </w:p>
    <w:p w:rsidR="0036253B" w:rsidRPr="0036253B" w:rsidRDefault="0036253B" w:rsidP="0036253B">
      <w:pPr>
        <w:jc w:val="both"/>
      </w:pPr>
      <w:r w:rsidRPr="0036253B">
        <w:rPr>
          <w:i/>
          <w:iCs/>
        </w:rPr>
        <w:t>Murmann</w:t>
      </w:r>
      <w:r w:rsidRPr="0036253B">
        <w:t xml:space="preserve"> (o. </w:t>
      </w:r>
      <w:proofErr w:type="spellStart"/>
      <w:r w:rsidRPr="0036253B">
        <w:t>Fußn</w:t>
      </w:r>
      <w:proofErr w:type="spellEnd"/>
      <w:r w:rsidRPr="0036253B">
        <w:t xml:space="preserve">. 12), § 24 </w:t>
      </w:r>
      <w:proofErr w:type="spellStart"/>
      <w:r w:rsidRPr="0036253B">
        <w:t>Rdnr</w:t>
      </w:r>
      <w:proofErr w:type="spellEnd"/>
      <w:r w:rsidRPr="0036253B">
        <w:t xml:space="preserve">. 16; </w:t>
      </w:r>
      <w:r w:rsidRPr="0036253B">
        <w:rPr>
          <w:i/>
          <w:iCs/>
        </w:rPr>
        <w:t>Wessels/Beulke</w:t>
      </w:r>
      <w:r w:rsidRPr="0036253B">
        <w:t xml:space="preserve"> (o. </w:t>
      </w:r>
      <w:proofErr w:type="spellStart"/>
      <w:r w:rsidRPr="0036253B">
        <w:t>Fußn</w:t>
      </w:r>
      <w:proofErr w:type="spellEnd"/>
      <w:r w:rsidRPr="0036253B">
        <w:t xml:space="preserve">. 9), </w:t>
      </w:r>
      <w:proofErr w:type="spellStart"/>
      <w:r w:rsidRPr="0036253B">
        <w:t>Rdnr</w:t>
      </w:r>
      <w:proofErr w:type="spellEnd"/>
      <w:r w:rsidRPr="0036253B">
        <w:t>. 211.</w:t>
      </w:r>
    </w:p>
    <w:p w:rsidR="0036253B" w:rsidRPr="0036253B" w:rsidRDefault="0036253B" w:rsidP="0036253B">
      <w:pPr>
        <w:jc w:val="both"/>
      </w:pPr>
      <w:r w:rsidRPr="0036253B">
        <w:rPr>
          <w:noProof/>
          <w:lang w:eastAsia="de-DE"/>
        </w:rPr>
        <w:drawing>
          <wp:inline distT="0" distB="0" distL="0" distR="0">
            <wp:extent cx="162560" cy="95250"/>
            <wp:effectExtent l="0" t="0" r="8890" b="0"/>
            <wp:docPr id="67" name="Grafik 67" descr="zurück zum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zurück zum Tex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2560" cy="95250"/>
                    </a:xfrm>
                    <a:prstGeom prst="rect">
                      <a:avLst/>
                    </a:prstGeom>
                    <a:noFill/>
                    <a:ln>
                      <a:noFill/>
                    </a:ln>
                  </pic:spPr>
                </pic:pic>
              </a:graphicData>
            </a:graphic>
          </wp:inline>
        </w:drawing>
      </w:r>
    </w:p>
    <w:p w:rsidR="0036253B" w:rsidRPr="0036253B" w:rsidRDefault="0036253B" w:rsidP="0036253B">
      <w:pPr>
        <w:jc w:val="both"/>
      </w:pPr>
      <w:r w:rsidRPr="0036253B">
        <w:rPr>
          <w:vertAlign w:val="superscript"/>
        </w:rPr>
        <w:t>17</w:t>
      </w:r>
      <w:r w:rsidRPr="0036253B">
        <w:t> </w:t>
      </w:r>
    </w:p>
    <w:p w:rsidR="0036253B" w:rsidRPr="0036253B" w:rsidRDefault="0036253B" w:rsidP="0036253B">
      <w:pPr>
        <w:jc w:val="both"/>
      </w:pPr>
      <w:r w:rsidRPr="0036253B">
        <w:t xml:space="preserve">BGHSt 55, 206 (212) = NJW 2010, 2672 (2673); </w:t>
      </w:r>
      <w:r w:rsidRPr="0036253B">
        <w:rPr>
          <w:i/>
          <w:iCs/>
        </w:rPr>
        <w:t>BGH</w:t>
      </w:r>
      <w:r w:rsidRPr="0036253B">
        <w:t xml:space="preserve">, NJW 2000, 3581 (3582); </w:t>
      </w:r>
      <w:r w:rsidRPr="0036253B">
        <w:rPr>
          <w:i/>
          <w:iCs/>
        </w:rPr>
        <w:t>Sternberg-Lieben</w:t>
      </w:r>
      <w:r w:rsidRPr="0036253B">
        <w:t xml:space="preserve">, in: </w:t>
      </w:r>
      <w:r w:rsidRPr="0036253B">
        <w:rPr>
          <w:i/>
          <w:iCs/>
        </w:rPr>
        <w:t>Schönke/Schröder</w:t>
      </w:r>
      <w:r w:rsidRPr="0036253B">
        <w:t xml:space="preserve"> (o. </w:t>
      </w:r>
      <w:proofErr w:type="spellStart"/>
      <w:r w:rsidRPr="0036253B">
        <w:t>Fußn</w:t>
      </w:r>
      <w:proofErr w:type="spellEnd"/>
      <w:r w:rsidRPr="0036253B">
        <w:t xml:space="preserve">. 4), § 15 </w:t>
      </w:r>
      <w:proofErr w:type="spellStart"/>
      <w:r w:rsidRPr="0036253B">
        <w:t>Rdnr</w:t>
      </w:r>
      <w:proofErr w:type="spellEnd"/>
      <w:r w:rsidRPr="0036253B">
        <w:t>. 66.</w:t>
      </w:r>
    </w:p>
    <w:p w:rsidR="0036253B" w:rsidRPr="0036253B" w:rsidRDefault="0036253B" w:rsidP="0036253B">
      <w:pPr>
        <w:jc w:val="both"/>
      </w:pPr>
      <w:r w:rsidRPr="0036253B">
        <w:rPr>
          <w:noProof/>
          <w:lang w:eastAsia="de-DE"/>
        </w:rPr>
        <w:drawing>
          <wp:inline distT="0" distB="0" distL="0" distR="0">
            <wp:extent cx="162560" cy="95250"/>
            <wp:effectExtent l="0" t="0" r="8890" b="0"/>
            <wp:docPr id="66" name="Grafik 66" descr="zurück zum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zurück zum Tex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2560" cy="95250"/>
                    </a:xfrm>
                    <a:prstGeom prst="rect">
                      <a:avLst/>
                    </a:prstGeom>
                    <a:noFill/>
                    <a:ln>
                      <a:noFill/>
                    </a:ln>
                  </pic:spPr>
                </pic:pic>
              </a:graphicData>
            </a:graphic>
          </wp:inline>
        </w:drawing>
      </w:r>
    </w:p>
    <w:p w:rsidR="0036253B" w:rsidRPr="0036253B" w:rsidRDefault="0036253B" w:rsidP="0036253B">
      <w:pPr>
        <w:jc w:val="both"/>
      </w:pPr>
      <w:r w:rsidRPr="0036253B">
        <w:rPr>
          <w:vertAlign w:val="superscript"/>
        </w:rPr>
        <w:t>18</w:t>
      </w:r>
      <w:r w:rsidRPr="0036253B">
        <w:t> </w:t>
      </w:r>
    </w:p>
    <w:p w:rsidR="0036253B" w:rsidRPr="0036253B" w:rsidRDefault="0036253B" w:rsidP="0036253B">
      <w:pPr>
        <w:jc w:val="both"/>
      </w:pPr>
      <w:r w:rsidRPr="0036253B">
        <w:t xml:space="preserve">Etwa bei der Bereicherungsabsicht i. S. des § 263 die </w:t>
      </w:r>
      <w:proofErr w:type="spellStart"/>
      <w:r w:rsidRPr="0036253B">
        <w:t>wirtschaftl</w:t>
      </w:r>
      <w:proofErr w:type="spellEnd"/>
      <w:r w:rsidRPr="0036253B">
        <w:t xml:space="preserve">. Besserstellung, im Fall der </w:t>
      </w:r>
      <w:proofErr w:type="spellStart"/>
      <w:r w:rsidRPr="0036253B">
        <w:t>Zueigungsabsicht</w:t>
      </w:r>
      <w:proofErr w:type="spellEnd"/>
      <w:r w:rsidRPr="0036253B">
        <w:t xml:space="preserve"> i. S. von § 242 die Aneignung d. Sache (f. d. Enteignungskomponente genügt hingegen Eventualvorsatz, </w:t>
      </w:r>
      <w:r w:rsidRPr="0036253B">
        <w:rPr>
          <w:i/>
          <w:iCs/>
        </w:rPr>
        <w:t>Rengier</w:t>
      </w:r>
      <w:r w:rsidRPr="0036253B">
        <w:t xml:space="preserve">, BT I, 13. Aufl. [2011], § 2 </w:t>
      </w:r>
      <w:proofErr w:type="spellStart"/>
      <w:r w:rsidRPr="0036253B">
        <w:t>Rdnr</w:t>
      </w:r>
      <w:proofErr w:type="spellEnd"/>
      <w:r w:rsidRPr="0036253B">
        <w:t>. 40).</w:t>
      </w:r>
    </w:p>
    <w:p w:rsidR="0036253B" w:rsidRPr="0036253B" w:rsidRDefault="0036253B" w:rsidP="0036253B">
      <w:pPr>
        <w:jc w:val="both"/>
      </w:pPr>
      <w:r w:rsidRPr="0036253B">
        <w:rPr>
          <w:noProof/>
          <w:lang w:eastAsia="de-DE"/>
        </w:rPr>
        <w:drawing>
          <wp:inline distT="0" distB="0" distL="0" distR="0">
            <wp:extent cx="162560" cy="95250"/>
            <wp:effectExtent l="0" t="0" r="8890" b="0"/>
            <wp:docPr id="65" name="Grafik 65" descr="zurück zum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zurück zum Tex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2560" cy="95250"/>
                    </a:xfrm>
                    <a:prstGeom prst="rect">
                      <a:avLst/>
                    </a:prstGeom>
                    <a:noFill/>
                    <a:ln>
                      <a:noFill/>
                    </a:ln>
                  </pic:spPr>
                </pic:pic>
              </a:graphicData>
            </a:graphic>
          </wp:inline>
        </w:drawing>
      </w:r>
    </w:p>
    <w:p w:rsidR="0036253B" w:rsidRPr="0036253B" w:rsidRDefault="0036253B" w:rsidP="0036253B">
      <w:pPr>
        <w:jc w:val="both"/>
      </w:pPr>
      <w:r w:rsidRPr="0036253B">
        <w:rPr>
          <w:vertAlign w:val="superscript"/>
        </w:rPr>
        <w:t>19</w:t>
      </w:r>
      <w:r w:rsidRPr="0036253B">
        <w:t> </w:t>
      </w:r>
    </w:p>
    <w:p w:rsidR="0036253B" w:rsidRPr="0036253B" w:rsidRDefault="0036253B" w:rsidP="0036253B">
      <w:pPr>
        <w:jc w:val="both"/>
      </w:pPr>
      <w:r w:rsidRPr="0036253B">
        <w:rPr>
          <w:i/>
          <w:iCs/>
        </w:rPr>
        <w:t>OLG Düsseldorf</w:t>
      </w:r>
      <w:r w:rsidRPr="0036253B">
        <w:t>, NJW 1974, 1833 (1834).</w:t>
      </w:r>
    </w:p>
    <w:p w:rsidR="0036253B" w:rsidRPr="0036253B" w:rsidRDefault="0036253B" w:rsidP="0036253B">
      <w:pPr>
        <w:jc w:val="both"/>
      </w:pPr>
      <w:r w:rsidRPr="0036253B">
        <w:rPr>
          <w:noProof/>
          <w:lang w:eastAsia="de-DE"/>
        </w:rPr>
        <w:drawing>
          <wp:inline distT="0" distB="0" distL="0" distR="0">
            <wp:extent cx="162560" cy="95250"/>
            <wp:effectExtent l="0" t="0" r="8890" b="0"/>
            <wp:docPr id="64" name="Grafik 64" descr="zurück zum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zurück zum Tex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2560" cy="95250"/>
                    </a:xfrm>
                    <a:prstGeom prst="rect">
                      <a:avLst/>
                    </a:prstGeom>
                    <a:noFill/>
                    <a:ln>
                      <a:noFill/>
                    </a:ln>
                  </pic:spPr>
                </pic:pic>
              </a:graphicData>
            </a:graphic>
          </wp:inline>
        </w:drawing>
      </w:r>
    </w:p>
    <w:p w:rsidR="0036253B" w:rsidRPr="0036253B" w:rsidRDefault="0036253B" w:rsidP="0036253B">
      <w:pPr>
        <w:jc w:val="both"/>
      </w:pPr>
      <w:r w:rsidRPr="0036253B">
        <w:rPr>
          <w:vertAlign w:val="superscript"/>
        </w:rPr>
        <w:t>20</w:t>
      </w:r>
      <w:r w:rsidRPr="0036253B">
        <w:t> </w:t>
      </w:r>
    </w:p>
    <w:p w:rsidR="0036253B" w:rsidRPr="0036253B" w:rsidRDefault="0036253B" w:rsidP="0036253B">
      <w:pPr>
        <w:jc w:val="both"/>
      </w:pPr>
      <w:r w:rsidRPr="0036253B">
        <w:t xml:space="preserve">Zu diesem </w:t>
      </w:r>
      <w:proofErr w:type="spellStart"/>
      <w:r w:rsidRPr="0036253B">
        <w:t>drittnützigen</w:t>
      </w:r>
      <w:proofErr w:type="spellEnd"/>
      <w:r w:rsidRPr="0036253B">
        <w:t xml:space="preserve"> Betrug kommt, sofern </w:t>
      </w:r>
      <w:r w:rsidRPr="0036253B">
        <w:rPr>
          <w:i/>
          <w:iCs/>
        </w:rPr>
        <w:t>A</w:t>
      </w:r>
      <w:r w:rsidRPr="0036253B">
        <w:t xml:space="preserve"> die </w:t>
      </w:r>
      <w:proofErr w:type="spellStart"/>
      <w:r w:rsidRPr="0036253B">
        <w:t>vermeintl</w:t>
      </w:r>
      <w:proofErr w:type="spellEnd"/>
      <w:r w:rsidRPr="0036253B">
        <w:t xml:space="preserve">. rechtswirksam geschlossenen Verträge bei </w:t>
      </w:r>
      <w:r w:rsidRPr="0036253B">
        <w:rPr>
          <w:i/>
          <w:iCs/>
        </w:rPr>
        <w:t xml:space="preserve">X </w:t>
      </w:r>
      <w:r w:rsidRPr="0036253B">
        <w:t>einreicht, ein eigennütziger Betrug zu Lasten der</w:t>
      </w:r>
      <w:r w:rsidRPr="0036253B">
        <w:rPr>
          <w:i/>
          <w:iCs/>
        </w:rPr>
        <w:t xml:space="preserve"> X </w:t>
      </w:r>
      <w:r w:rsidRPr="0036253B">
        <w:t xml:space="preserve">hinzu, vgl. BGHSt 21, 385 = NJW 1968, 261; </w:t>
      </w:r>
      <w:r w:rsidRPr="0036253B">
        <w:rPr>
          <w:i/>
          <w:iCs/>
        </w:rPr>
        <w:t>Rengier</w:t>
      </w:r>
      <w:r w:rsidRPr="0036253B">
        <w:t xml:space="preserve"> (o. </w:t>
      </w:r>
      <w:proofErr w:type="spellStart"/>
      <w:r w:rsidRPr="0036253B">
        <w:t>Fußn</w:t>
      </w:r>
      <w:proofErr w:type="spellEnd"/>
      <w:r w:rsidRPr="0036253B">
        <w:t xml:space="preserve">. 18), § 13 </w:t>
      </w:r>
      <w:proofErr w:type="spellStart"/>
      <w:r w:rsidRPr="0036253B">
        <w:t>Rdnr</w:t>
      </w:r>
      <w:proofErr w:type="spellEnd"/>
      <w:r w:rsidRPr="0036253B">
        <w:t>. 109.</w:t>
      </w:r>
    </w:p>
    <w:p w:rsidR="0036253B" w:rsidRPr="0036253B" w:rsidRDefault="0036253B" w:rsidP="0036253B">
      <w:pPr>
        <w:jc w:val="both"/>
      </w:pPr>
      <w:r w:rsidRPr="0036253B">
        <w:rPr>
          <w:noProof/>
          <w:lang w:eastAsia="de-DE"/>
        </w:rPr>
        <w:drawing>
          <wp:inline distT="0" distB="0" distL="0" distR="0">
            <wp:extent cx="162560" cy="95250"/>
            <wp:effectExtent l="0" t="0" r="8890" b="0"/>
            <wp:docPr id="63" name="Grafik 63" descr="zurück zum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zurück zum Tex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2560" cy="95250"/>
                    </a:xfrm>
                    <a:prstGeom prst="rect">
                      <a:avLst/>
                    </a:prstGeom>
                    <a:noFill/>
                    <a:ln>
                      <a:noFill/>
                    </a:ln>
                  </pic:spPr>
                </pic:pic>
              </a:graphicData>
            </a:graphic>
          </wp:inline>
        </w:drawing>
      </w:r>
    </w:p>
    <w:p w:rsidR="0036253B" w:rsidRPr="0036253B" w:rsidRDefault="0036253B" w:rsidP="0036253B">
      <w:pPr>
        <w:jc w:val="both"/>
      </w:pPr>
      <w:r w:rsidRPr="0036253B">
        <w:rPr>
          <w:vertAlign w:val="superscript"/>
        </w:rPr>
        <w:t>21</w:t>
      </w:r>
      <w:r w:rsidRPr="0036253B">
        <w:t> </w:t>
      </w:r>
    </w:p>
    <w:p w:rsidR="0036253B" w:rsidRPr="0036253B" w:rsidRDefault="0036253B" w:rsidP="0036253B">
      <w:pPr>
        <w:jc w:val="both"/>
      </w:pPr>
      <w:r w:rsidRPr="0036253B">
        <w:t xml:space="preserve">Vgl. </w:t>
      </w:r>
      <w:r w:rsidRPr="0036253B">
        <w:rPr>
          <w:i/>
          <w:iCs/>
        </w:rPr>
        <w:t>KG</w:t>
      </w:r>
      <w:r w:rsidRPr="0036253B">
        <w:t xml:space="preserve">, NJW 1957, 882. Entsprechend zu behandeln ist das von </w:t>
      </w:r>
      <w:r w:rsidRPr="0036253B">
        <w:rPr>
          <w:i/>
          <w:iCs/>
        </w:rPr>
        <w:t>Rengier</w:t>
      </w:r>
      <w:r w:rsidRPr="0036253B">
        <w:t xml:space="preserve"> (o. </w:t>
      </w:r>
      <w:proofErr w:type="spellStart"/>
      <w:r w:rsidRPr="0036253B">
        <w:t>Fußn</w:t>
      </w:r>
      <w:proofErr w:type="spellEnd"/>
      <w:r w:rsidRPr="0036253B">
        <w:t xml:space="preserve">. 18), § 13 </w:t>
      </w:r>
      <w:proofErr w:type="spellStart"/>
      <w:r w:rsidRPr="0036253B">
        <w:t>Rdnr</w:t>
      </w:r>
      <w:proofErr w:type="spellEnd"/>
      <w:r w:rsidRPr="0036253B">
        <w:t>. 105, gebildete Bsp. eines Wissenschaftlers, der bei einer Fachzeitschrift bewusst ein Plagiat als Originalbeitrag einreicht, wobei es ihm um seine Reputationssteigerung u. nicht um das eher geringfügige Honorar geht, dessen verlagsseitige Zahlung ihm allerdings bekannt ist: nur Strafbarkeit nach § 106 UrhG.</w:t>
      </w:r>
    </w:p>
    <w:p w:rsidR="0036253B" w:rsidRPr="0036253B" w:rsidRDefault="0036253B" w:rsidP="0036253B">
      <w:pPr>
        <w:jc w:val="both"/>
      </w:pPr>
      <w:r w:rsidRPr="0036253B">
        <w:rPr>
          <w:noProof/>
          <w:lang w:eastAsia="de-DE"/>
        </w:rPr>
        <w:drawing>
          <wp:inline distT="0" distB="0" distL="0" distR="0">
            <wp:extent cx="162560" cy="95250"/>
            <wp:effectExtent l="0" t="0" r="8890" b="0"/>
            <wp:docPr id="62" name="Grafik 62" descr="zurück zum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zurück zum Tex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2560" cy="95250"/>
                    </a:xfrm>
                    <a:prstGeom prst="rect">
                      <a:avLst/>
                    </a:prstGeom>
                    <a:noFill/>
                    <a:ln>
                      <a:noFill/>
                    </a:ln>
                  </pic:spPr>
                </pic:pic>
              </a:graphicData>
            </a:graphic>
          </wp:inline>
        </w:drawing>
      </w:r>
    </w:p>
    <w:p w:rsidR="0036253B" w:rsidRPr="0036253B" w:rsidRDefault="0036253B" w:rsidP="0036253B">
      <w:pPr>
        <w:jc w:val="both"/>
      </w:pPr>
      <w:r w:rsidRPr="0036253B">
        <w:rPr>
          <w:vertAlign w:val="superscript"/>
        </w:rPr>
        <w:t>22</w:t>
      </w:r>
      <w:r w:rsidRPr="0036253B">
        <w:t> </w:t>
      </w:r>
    </w:p>
    <w:p w:rsidR="0036253B" w:rsidRPr="0036253B" w:rsidRDefault="0036253B" w:rsidP="0036253B">
      <w:pPr>
        <w:jc w:val="both"/>
      </w:pPr>
      <w:r w:rsidRPr="0036253B">
        <w:rPr>
          <w:i/>
          <w:iCs/>
        </w:rPr>
        <w:t>KG</w:t>
      </w:r>
      <w:r w:rsidRPr="0036253B">
        <w:t xml:space="preserve">, NJW 1957, 882 (883); </w:t>
      </w:r>
      <w:r w:rsidRPr="0036253B">
        <w:rPr>
          <w:i/>
          <w:iCs/>
        </w:rPr>
        <w:t>Sternberg-Lieben</w:t>
      </w:r>
      <w:r w:rsidRPr="0036253B">
        <w:t xml:space="preserve">, in: </w:t>
      </w:r>
      <w:r w:rsidRPr="0036253B">
        <w:rPr>
          <w:i/>
          <w:iCs/>
        </w:rPr>
        <w:t>Schönke/Schröder</w:t>
      </w:r>
      <w:r w:rsidRPr="0036253B">
        <w:t xml:space="preserve"> (o. </w:t>
      </w:r>
      <w:proofErr w:type="spellStart"/>
      <w:r w:rsidRPr="0036253B">
        <w:t>Fußn</w:t>
      </w:r>
      <w:proofErr w:type="spellEnd"/>
      <w:r w:rsidRPr="0036253B">
        <w:t xml:space="preserve">. 4), § 15 </w:t>
      </w:r>
      <w:proofErr w:type="spellStart"/>
      <w:r w:rsidRPr="0036253B">
        <w:t>Rdnr</w:t>
      </w:r>
      <w:proofErr w:type="spellEnd"/>
      <w:r w:rsidRPr="0036253B">
        <w:t xml:space="preserve">. 66. Hingegen lässt BGHSt 16, 1 (7) = NJW 1961, 1172 (1173 f.) für § 263 eine sichere u. erwünschte Folge genügen, so dass bei Vorspiegeln beglichenen Fahrtentgelts, um die erstrebte Teilnahme am Ausbildungskurs nicht zu gefährden, Betrug angenommen wurde; hierzu </w:t>
      </w:r>
      <w:r w:rsidRPr="0036253B">
        <w:rPr>
          <w:i/>
          <w:iCs/>
        </w:rPr>
        <w:t>Rengier</w:t>
      </w:r>
      <w:r w:rsidRPr="0036253B">
        <w:t xml:space="preserve"> (o. </w:t>
      </w:r>
      <w:proofErr w:type="spellStart"/>
      <w:r w:rsidRPr="0036253B">
        <w:t>Fußn</w:t>
      </w:r>
      <w:proofErr w:type="spellEnd"/>
      <w:r w:rsidRPr="0036253B">
        <w:t xml:space="preserve">. 18), § 13 </w:t>
      </w:r>
      <w:proofErr w:type="spellStart"/>
      <w:r w:rsidRPr="0036253B">
        <w:t>Rdnr</w:t>
      </w:r>
      <w:proofErr w:type="spellEnd"/>
      <w:r w:rsidRPr="0036253B">
        <w:t>. 105 a.</w:t>
      </w:r>
    </w:p>
    <w:p w:rsidR="0036253B" w:rsidRPr="0036253B" w:rsidRDefault="0036253B" w:rsidP="0036253B">
      <w:pPr>
        <w:jc w:val="both"/>
      </w:pPr>
      <w:r w:rsidRPr="0036253B">
        <w:rPr>
          <w:noProof/>
          <w:lang w:eastAsia="de-DE"/>
        </w:rPr>
        <w:drawing>
          <wp:inline distT="0" distB="0" distL="0" distR="0">
            <wp:extent cx="162560" cy="95250"/>
            <wp:effectExtent l="0" t="0" r="8890" b="0"/>
            <wp:docPr id="61" name="Grafik 61" descr="zurück zum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zurück zum Tex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2560" cy="95250"/>
                    </a:xfrm>
                    <a:prstGeom prst="rect">
                      <a:avLst/>
                    </a:prstGeom>
                    <a:noFill/>
                    <a:ln>
                      <a:noFill/>
                    </a:ln>
                  </pic:spPr>
                </pic:pic>
              </a:graphicData>
            </a:graphic>
          </wp:inline>
        </w:drawing>
      </w:r>
    </w:p>
    <w:p w:rsidR="0036253B" w:rsidRPr="0036253B" w:rsidRDefault="0036253B" w:rsidP="0036253B">
      <w:pPr>
        <w:jc w:val="both"/>
      </w:pPr>
      <w:r w:rsidRPr="0036253B">
        <w:rPr>
          <w:vertAlign w:val="superscript"/>
        </w:rPr>
        <w:t>23</w:t>
      </w:r>
      <w:r w:rsidRPr="0036253B">
        <w:t> </w:t>
      </w:r>
    </w:p>
    <w:p w:rsidR="0036253B" w:rsidRPr="0036253B" w:rsidRDefault="0036253B" w:rsidP="0036253B">
      <w:pPr>
        <w:jc w:val="both"/>
      </w:pPr>
      <w:proofErr w:type="spellStart"/>
      <w:r w:rsidRPr="0036253B">
        <w:t>Ähnl</w:t>
      </w:r>
      <w:proofErr w:type="spellEnd"/>
      <w:r w:rsidRPr="0036253B">
        <w:t xml:space="preserve">. </w:t>
      </w:r>
      <w:r w:rsidRPr="0036253B">
        <w:rPr>
          <w:i/>
          <w:iCs/>
        </w:rPr>
        <w:t>Roxin</w:t>
      </w:r>
      <w:r w:rsidRPr="0036253B">
        <w:t xml:space="preserve"> (o. </w:t>
      </w:r>
      <w:proofErr w:type="spellStart"/>
      <w:r w:rsidRPr="0036253B">
        <w:t>Fußn</w:t>
      </w:r>
      <w:proofErr w:type="spellEnd"/>
      <w:r w:rsidRPr="0036253B">
        <w:t xml:space="preserve">. 7); 12 </w:t>
      </w:r>
      <w:proofErr w:type="spellStart"/>
      <w:r w:rsidRPr="0036253B">
        <w:t>Rdnrn</w:t>
      </w:r>
      <w:proofErr w:type="spellEnd"/>
      <w:r w:rsidRPr="0036253B">
        <w:t>. 13 ff., der Absicht nur dann verlangt, wenn sie den Deliktstyp prägt (wie etwa bei §§ 242, 263, nicht aber bei §§ 164, 257, wo dolus directus zweiten Grades genügt).</w:t>
      </w:r>
    </w:p>
    <w:p w:rsidR="0036253B" w:rsidRPr="0036253B" w:rsidRDefault="0036253B" w:rsidP="0036253B">
      <w:pPr>
        <w:jc w:val="both"/>
      </w:pPr>
      <w:r w:rsidRPr="0036253B">
        <w:rPr>
          <w:noProof/>
          <w:lang w:eastAsia="de-DE"/>
        </w:rPr>
        <w:drawing>
          <wp:inline distT="0" distB="0" distL="0" distR="0">
            <wp:extent cx="162560" cy="95250"/>
            <wp:effectExtent l="0" t="0" r="8890" b="0"/>
            <wp:docPr id="60" name="Grafik 60" descr="zurück zum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zurück zum Tex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2560" cy="95250"/>
                    </a:xfrm>
                    <a:prstGeom prst="rect">
                      <a:avLst/>
                    </a:prstGeom>
                    <a:noFill/>
                    <a:ln>
                      <a:noFill/>
                    </a:ln>
                  </pic:spPr>
                </pic:pic>
              </a:graphicData>
            </a:graphic>
          </wp:inline>
        </w:drawing>
      </w:r>
    </w:p>
    <w:p w:rsidR="0036253B" w:rsidRPr="0036253B" w:rsidRDefault="0036253B" w:rsidP="0036253B">
      <w:pPr>
        <w:jc w:val="both"/>
      </w:pPr>
      <w:r w:rsidRPr="0036253B">
        <w:rPr>
          <w:vertAlign w:val="superscript"/>
        </w:rPr>
        <w:t>24</w:t>
      </w:r>
      <w:r w:rsidRPr="0036253B">
        <w:t> </w:t>
      </w:r>
    </w:p>
    <w:p w:rsidR="0036253B" w:rsidRPr="0036253B" w:rsidRDefault="0036253B" w:rsidP="0036253B">
      <w:pPr>
        <w:jc w:val="both"/>
      </w:pPr>
      <w:proofErr w:type="spellStart"/>
      <w:r w:rsidRPr="0036253B">
        <w:rPr>
          <w:i/>
          <w:iCs/>
        </w:rPr>
        <w:t>Kudlich</w:t>
      </w:r>
      <w:proofErr w:type="spellEnd"/>
      <w:r w:rsidRPr="0036253B">
        <w:t xml:space="preserve">, in: </w:t>
      </w:r>
      <w:proofErr w:type="spellStart"/>
      <w:r w:rsidRPr="0036253B">
        <w:t>BeckOK</w:t>
      </w:r>
      <w:proofErr w:type="spellEnd"/>
      <w:r w:rsidRPr="0036253B">
        <w:t xml:space="preserve">-StGB (o. </w:t>
      </w:r>
      <w:proofErr w:type="spellStart"/>
      <w:r w:rsidRPr="0036253B">
        <w:t>Fußn</w:t>
      </w:r>
      <w:proofErr w:type="spellEnd"/>
      <w:r w:rsidRPr="0036253B">
        <w:t xml:space="preserve">. 12), § 15 </w:t>
      </w:r>
      <w:proofErr w:type="spellStart"/>
      <w:r w:rsidRPr="0036253B">
        <w:t>Rdnr</w:t>
      </w:r>
      <w:proofErr w:type="spellEnd"/>
      <w:r w:rsidRPr="0036253B">
        <w:t xml:space="preserve">. 19.2; </w:t>
      </w:r>
      <w:r w:rsidRPr="0036253B">
        <w:rPr>
          <w:i/>
          <w:iCs/>
        </w:rPr>
        <w:t>Sternberg-Lieben</w:t>
      </w:r>
      <w:r w:rsidRPr="0036253B">
        <w:t xml:space="preserve">, in: </w:t>
      </w:r>
      <w:r w:rsidRPr="0036253B">
        <w:rPr>
          <w:i/>
          <w:iCs/>
        </w:rPr>
        <w:t>Schönke/Schröder</w:t>
      </w:r>
      <w:r w:rsidRPr="0036253B">
        <w:t xml:space="preserve"> (o. </w:t>
      </w:r>
      <w:proofErr w:type="spellStart"/>
      <w:r w:rsidRPr="0036253B">
        <w:t>Fußn</w:t>
      </w:r>
      <w:proofErr w:type="spellEnd"/>
      <w:r w:rsidRPr="0036253B">
        <w:t xml:space="preserve">. 4), § 15 </w:t>
      </w:r>
      <w:proofErr w:type="spellStart"/>
      <w:r w:rsidRPr="0036253B">
        <w:t>Rdnr</w:t>
      </w:r>
      <w:proofErr w:type="spellEnd"/>
      <w:r w:rsidRPr="0036253B">
        <w:t xml:space="preserve">. 70. </w:t>
      </w:r>
    </w:p>
    <w:p w:rsidR="0036253B" w:rsidRPr="0036253B" w:rsidRDefault="0036253B" w:rsidP="0036253B">
      <w:pPr>
        <w:jc w:val="both"/>
      </w:pPr>
      <w:r w:rsidRPr="0036253B">
        <w:rPr>
          <w:noProof/>
          <w:lang w:eastAsia="de-DE"/>
        </w:rPr>
        <w:drawing>
          <wp:inline distT="0" distB="0" distL="0" distR="0">
            <wp:extent cx="162560" cy="95250"/>
            <wp:effectExtent l="0" t="0" r="8890" b="0"/>
            <wp:docPr id="59" name="Grafik 59" descr="zurück zum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zurück zum Tex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2560" cy="95250"/>
                    </a:xfrm>
                    <a:prstGeom prst="rect">
                      <a:avLst/>
                    </a:prstGeom>
                    <a:noFill/>
                    <a:ln>
                      <a:noFill/>
                    </a:ln>
                  </pic:spPr>
                </pic:pic>
              </a:graphicData>
            </a:graphic>
          </wp:inline>
        </w:drawing>
      </w:r>
    </w:p>
    <w:p w:rsidR="0036253B" w:rsidRPr="0036253B" w:rsidRDefault="0036253B" w:rsidP="0036253B">
      <w:pPr>
        <w:jc w:val="both"/>
      </w:pPr>
      <w:r w:rsidRPr="0036253B">
        <w:rPr>
          <w:vertAlign w:val="superscript"/>
        </w:rPr>
        <w:t>25</w:t>
      </w:r>
      <w:r w:rsidRPr="0036253B">
        <w:t> </w:t>
      </w:r>
    </w:p>
    <w:p w:rsidR="0036253B" w:rsidRPr="0036253B" w:rsidRDefault="0036253B" w:rsidP="0036253B">
      <w:pPr>
        <w:jc w:val="both"/>
      </w:pPr>
      <w:r w:rsidRPr="0036253B">
        <w:t xml:space="preserve">Stellt sie die Untergrenze </w:t>
      </w:r>
      <w:proofErr w:type="spellStart"/>
      <w:r w:rsidRPr="0036253B">
        <w:t>vorsätzl</w:t>
      </w:r>
      <w:proofErr w:type="spellEnd"/>
      <w:r w:rsidRPr="0036253B">
        <w:t>. Handelns dar, so ist sie im StGB mit den Ausdrücken „wissentlich“ (z. B. §§ 226 II, 344) bzw. „wider besseres Wissen“ (z. B. §§ 145 d, 164, 187) gekennzeichnet.</w:t>
      </w:r>
    </w:p>
    <w:p w:rsidR="0036253B" w:rsidRPr="0036253B" w:rsidRDefault="0036253B" w:rsidP="0036253B">
      <w:pPr>
        <w:jc w:val="both"/>
      </w:pPr>
      <w:r w:rsidRPr="0036253B">
        <w:rPr>
          <w:noProof/>
          <w:lang w:eastAsia="de-DE"/>
        </w:rPr>
        <w:drawing>
          <wp:inline distT="0" distB="0" distL="0" distR="0">
            <wp:extent cx="162560" cy="95250"/>
            <wp:effectExtent l="0" t="0" r="8890" b="0"/>
            <wp:docPr id="58" name="Grafik 58" descr="zurück zum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zurück zum Tex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2560" cy="95250"/>
                    </a:xfrm>
                    <a:prstGeom prst="rect">
                      <a:avLst/>
                    </a:prstGeom>
                    <a:noFill/>
                    <a:ln>
                      <a:noFill/>
                    </a:ln>
                  </pic:spPr>
                </pic:pic>
              </a:graphicData>
            </a:graphic>
          </wp:inline>
        </w:drawing>
      </w:r>
    </w:p>
    <w:p w:rsidR="0036253B" w:rsidRPr="0036253B" w:rsidRDefault="0036253B" w:rsidP="0036253B">
      <w:pPr>
        <w:jc w:val="both"/>
      </w:pPr>
      <w:r w:rsidRPr="0036253B">
        <w:rPr>
          <w:vertAlign w:val="superscript"/>
        </w:rPr>
        <w:t>26</w:t>
      </w:r>
      <w:r w:rsidRPr="0036253B">
        <w:t> </w:t>
      </w:r>
    </w:p>
    <w:p w:rsidR="0036253B" w:rsidRPr="0036253B" w:rsidRDefault="0036253B" w:rsidP="0036253B">
      <w:pPr>
        <w:jc w:val="both"/>
      </w:pPr>
      <w:proofErr w:type="spellStart"/>
      <w:r w:rsidRPr="0036253B">
        <w:rPr>
          <w:i/>
          <w:iCs/>
        </w:rPr>
        <w:t>Jescheck</w:t>
      </w:r>
      <w:proofErr w:type="spellEnd"/>
      <w:r w:rsidRPr="0036253B">
        <w:rPr>
          <w:i/>
          <w:iCs/>
        </w:rPr>
        <w:t>/</w:t>
      </w:r>
      <w:proofErr w:type="spellStart"/>
      <w:r w:rsidRPr="0036253B">
        <w:rPr>
          <w:i/>
          <w:iCs/>
        </w:rPr>
        <w:t>Weigend</w:t>
      </w:r>
      <w:proofErr w:type="spellEnd"/>
      <w:r w:rsidRPr="0036253B">
        <w:t xml:space="preserve"> (o. </w:t>
      </w:r>
      <w:proofErr w:type="spellStart"/>
      <w:r w:rsidRPr="0036253B">
        <w:t>Fußn</w:t>
      </w:r>
      <w:proofErr w:type="spellEnd"/>
      <w:r w:rsidRPr="0036253B">
        <w:t>. 5), § 29 III 2.</w:t>
      </w:r>
    </w:p>
    <w:p w:rsidR="0036253B" w:rsidRPr="0036253B" w:rsidRDefault="0036253B" w:rsidP="0036253B">
      <w:pPr>
        <w:jc w:val="both"/>
      </w:pPr>
      <w:r w:rsidRPr="0036253B">
        <w:rPr>
          <w:noProof/>
          <w:lang w:eastAsia="de-DE"/>
        </w:rPr>
        <w:drawing>
          <wp:inline distT="0" distB="0" distL="0" distR="0">
            <wp:extent cx="162560" cy="95250"/>
            <wp:effectExtent l="0" t="0" r="8890" b="0"/>
            <wp:docPr id="57" name="Grafik 57" descr="zurück zum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zurück zum Tex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2560" cy="95250"/>
                    </a:xfrm>
                    <a:prstGeom prst="rect">
                      <a:avLst/>
                    </a:prstGeom>
                    <a:noFill/>
                    <a:ln>
                      <a:noFill/>
                    </a:ln>
                  </pic:spPr>
                </pic:pic>
              </a:graphicData>
            </a:graphic>
          </wp:inline>
        </w:drawing>
      </w:r>
    </w:p>
    <w:p w:rsidR="0036253B" w:rsidRPr="0036253B" w:rsidRDefault="0036253B" w:rsidP="0036253B">
      <w:pPr>
        <w:jc w:val="both"/>
      </w:pPr>
      <w:r w:rsidRPr="0036253B">
        <w:rPr>
          <w:vertAlign w:val="superscript"/>
        </w:rPr>
        <w:t>27</w:t>
      </w:r>
      <w:r w:rsidRPr="0036253B">
        <w:t> </w:t>
      </w:r>
    </w:p>
    <w:p w:rsidR="0036253B" w:rsidRPr="0036253B" w:rsidRDefault="0036253B" w:rsidP="0036253B">
      <w:pPr>
        <w:jc w:val="both"/>
      </w:pPr>
      <w:r w:rsidRPr="0036253B">
        <w:t xml:space="preserve">S. </w:t>
      </w:r>
      <w:r w:rsidRPr="0036253B">
        <w:rPr>
          <w:i/>
          <w:iCs/>
        </w:rPr>
        <w:t>BGH</w:t>
      </w:r>
      <w:r w:rsidRPr="0036253B">
        <w:t xml:space="preserve">, NStZ-RR 2006, 174 (175); </w:t>
      </w:r>
      <w:r w:rsidRPr="0036253B">
        <w:rPr>
          <w:i/>
          <w:iCs/>
        </w:rPr>
        <w:t>Lackner/Kühl</w:t>
      </w:r>
      <w:r w:rsidRPr="0036253B">
        <w:t xml:space="preserve"> (o. </w:t>
      </w:r>
      <w:proofErr w:type="spellStart"/>
      <w:r w:rsidRPr="0036253B">
        <w:t>Fußn</w:t>
      </w:r>
      <w:proofErr w:type="spellEnd"/>
      <w:r w:rsidRPr="0036253B">
        <w:t xml:space="preserve">. 3), § 15 </w:t>
      </w:r>
      <w:proofErr w:type="spellStart"/>
      <w:r w:rsidRPr="0036253B">
        <w:t>Rdnr</w:t>
      </w:r>
      <w:proofErr w:type="spellEnd"/>
      <w:r w:rsidRPr="0036253B">
        <w:t>. 21.</w:t>
      </w:r>
    </w:p>
    <w:p w:rsidR="0036253B" w:rsidRPr="0036253B" w:rsidRDefault="0036253B" w:rsidP="0036253B">
      <w:pPr>
        <w:jc w:val="both"/>
      </w:pPr>
      <w:r w:rsidRPr="0036253B">
        <w:rPr>
          <w:noProof/>
          <w:lang w:eastAsia="de-DE"/>
        </w:rPr>
        <w:drawing>
          <wp:inline distT="0" distB="0" distL="0" distR="0">
            <wp:extent cx="162560" cy="95250"/>
            <wp:effectExtent l="0" t="0" r="8890" b="0"/>
            <wp:docPr id="56" name="Grafik 56" descr="zurück zum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zurück zum Tex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2560" cy="95250"/>
                    </a:xfrm>
                    <a:prstGeom prst="rect">
                      <a:avLst/>
                    </a:prstGeom>
                    <a:noFill/>
                    <a:ln>
                      <a:noFill/>
                    </a:ln>
                  </pic:spPr>
                </pic:pic>
              </a:graphicData>
            </a:graphic>
          </wp:inline>
        </w:drawing>
      </w:r>
    </w:p>
    <w:p w:rsidR="0036253B" w:rsidRPr="0036253B" w:rsidRDefault="0036253B" w:rsidP="0036253B">
      <w:pPr>
        <w:jc w:val="both"/>
      </w:pPr>
      <w:r w:rsidRPr="0036253B">
        <w:rPr>
          <w:vertAlign w:val="superscript"/>
        </w:rPr>
        <w:t>28</w:t>
      </w:r>
      <w:r w:rsidRPr="0036253B">
        <w:t> </w:t>
      </w:r>
    </w:p>
    <w:p w:rsidR="0036253B" w:rsidRPr="0036253B" w:rsidRDefault="0036253B" w:rsidP="0036253B">
      <w:pPr>
        <w:jc w:val="both"/>
      </w:pPr>
      <w:r w:rsidRPr="0036253B">
        <w:rPr>
          <w:i/>
          <w:iCs/>
        </w:rPr>
        <w:t>Fischer</w:t>
      </w:r>
      <w:r w:rsidRPr="0036253B">
        <w:t xml:space="preserve">, StGB, 59. Aufl. (2012), § 15 </w:t>
      </w:r>
      <w:proofErr w:type="spellStart"/>
      <w:r w:rsidRPr="0036253B">
        <w:t>Rdnr</w:t>
      </w:r>
      <w:proofErr w:type="spellEnd"/>
      <w:r w:rsidRPr="0036253B">
        <w:t xml:space="preserve">. 7; auch die bloße Hoffnung auf ein Ausbleiben d. Erfolgs ist ohne Bedeutung, </w:t>
      </w:r>
      <w:r w:rsidRPr="0036253B">
        <w:rPr>
          <w:i/>
          <w:iCs/>
        </w:rPr>
        <w:t>BGH</w:t>
      </w:r>
      <w:r w:rsidRPr="0036253B">
        <w:t>, NStZ-RR 2006, 174 (175), zu § 226 II.</w:t>
      </w:r>
    </w:p>
    <w:p w:rsidR="0036253B" w:rsidRPr="0036253B" w:rsidRDefault="0036253B" w:rsidP="0036253B">
      <w:pPr>
        <w:jc w:val="both"/>
      </w:pPr>
      <w:r w:rsidRPr="0036253B">
        <w:rPr>
          <w:noProof/>
          <w:lang w:eastAsia="de-DE"/>
        </w:rPr>
        <w:drawing>
          <wp:inline distT="0" distB="0" distL="0" distR="0">
            <wp:extent cx="162560" cy="95250"/>
            <wp:effectExtent l="0" t="0" r="8890" b="0"/>
            <wp:docPr id="55" name="Grafik 55" descr="zurück zum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zurück zum Tex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2560" cy="95250"/>
                    </a:xfrm>
                    <a:prstGeom prst="rect">
                      <a:avLst/>
                    </a:prstGeom>
                    <a:noFill/>
                    <a:ln>
                      <a:noFill/>
                    </a:ln>
                  </pic:spPr>
                </pic:pic>
              </a:graphicData>
            </a:graphic>
          </wp:inline>
        </w:drawing>
      </w:r>
    </w:p>
    <w:p w:rsidR="0036253B" w:rsidRPr="0036253B" w:rsidRDefault="0036253B" w:rsidP="0036253B">
      <w:pPr>
        <w:jc w:val="both"/>
      </w:pPr>
      <w:r w:rsidRPr="0036253B">
        <w:rPr>
          <w:vertAlign w:val="superscript"/>
        </w:rPr>
        <w:t>29</w:t>
      </w:r>
      <w:r w:rsidRPr="0036253B">
        <w:t> </w:t>
      </w:r>
    </w:p>
    <w:p w:rsidR="0036253B" w:rsidRPr="0036253B" w:rsidRDefault="0036253B" w:rsidP="0036253B">
      <w:pPr>
        <w:jc w:val="both"/>
      </w:pPr>
      <w:r w:rsidRPr="0036253B">
        <w:t xml:space="preserve">Von </w:t>
      </w:r>
      <w:r w:rsidRPr="0036253B">
        <w:rPr>
          <w:i/>
          <w:iCs/>
        </w:rPr>
        <w:t>Vogel</w:t>
      </w:r>
      <w:r w:rsidRPr="0036253B">
        <w:t xml:space="preserve">, in: LK-StGB (o. </w:t>
      </w:r>
      <w:proofErr w:type="spellStart"/>
      <w:r w:rsidRPr="0036253B">
        <w:t>Fußn</w:t>
      </w:r>
      <w:proofErr w:type="spellEnd"/>
      <w:r w:rsidRPr="0036253B">
        <w:t xml:space="preserve">. 1), § 15 </w:t>
      </w:r>
      <w:proofErr w:type="spellStart"/>
      <w:r w:rsidRPr="0036253B">
        <w:t>Rdnr</w:t>
      </w:r>
      <w:proofErr w:type="spellEnd"/>
      <w:r w:rsidRPr="0036253B">
        <w:t>. 95.</w:t>
      </w:r>
    </w:p>
    <w:p w:rsidR="0036253B" w:rsidRPr="0036253B" w:rsidRDefault="0036253B" w:rsidP="0036253B">
      <w:pPr>
        <w:jc w:val="both"/>
      </w:pPr>
      <w:r w:rsidRPr="0036253B">
        <w:rPr>
          <w:noProof/>
          <w:lang w:eastAsia="de-DE"/>
        </w:rPr>
        <w:drawing>
          <wp:inline distT="0" distB="0" distL="0" distR="0">
            <wp:extent cx="162560" cy="95250"/>
            <wp:effectExtent l="0" t="0" r="8890" b="0"/>
            <wp:docPr id="54" name="Grafik 54" descr="zurück zum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zurück zum Tex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2560" cy="95250"/>
                    </a:xfrm>
                    <a:prstGeom prst="rect">
                      <a:avLst/>
                    </a:prstGeom>
                    <a:noFill/>
                    <a:ln>
                      <a:noFill/>
                    </a:ln>
                  </pic:spPr>
                </pic:pic>
              </a:graphicData>
            </a:graphic>
          </wp:inline>
        </w:drawing>
      </w:r>
    </w:p>
    <w:p w:rsidR="0036253B" w:rsidRPr="0036253B" w:rsidRDefault="0036253B" w:rsidP="0036253B">
      <w:pPr>
        <w:jc w:val="both"/>
      </w:pPr>
      <w:r w:rsidRPr="0036253B">
        <w:rPr>
          <w:vertAlign w:val="superscript"/>
        </w:rPr>
        <w:t>30</w:t>
      </w:r>
      <w:r w:rsidRPr="0036253B">
        <w:t> </w:t>
      </w:r>
    </w:p>
    <w:p w:rsidR="0036253B" w:rsidRPr="0036253B" w:rsidRDefault="0036253B" w:rsidP="0036253B">
      <w:pPr>
        <w:jc w:val="both"/>
      </w:pPr>
      <w:r w:rsidRPr="0036253B">
        <w:rPr>
          <w:i/>
          <w:iCs/>
        </w:rPr>
        <w:t>Roxin</w:t>
      </w:r>
      <w:r w:rsidRPr="0036253B">
        <w:t xml:space="preserve"> (o. </w:t>
      </w:r>
      <w:proofErr w:type="spellStart"/>
      <w:r w:rsidRPr="0036253B">
        <w:t>Fußn</w:t>
      </w:r>
      <w:proofErr w:type="spellEnd"/>
      <w:r w:rsidRPr="0036253B">
        <w:t xml:space="preserve">. 7), § 12 </w:t>
      </w:r>
      <w:proofErr w:type="spellStart"/>
      <w:r w:rsidRPr="0036253B">
        <w:t>Rdnr</w:t>
      </w:r>
      <w:proofErr w:type="spellEnd"/>
      <w:r w:rsidRPr="0036253B">
        <w:t xml:space="preserve">. 18; </w:t>
      </w:r>
      <w:r w:rsidRPr="0036253B">
        <w:rPr>
          <w:i/>
          <w:iCs/>
        </w:rPr>
        <w:t>Sternberg-Lieben</w:t>
      </w:r>
      <w:r w:rsidRPr="0036253B">
        <w:t xml:space="preserve">, in: </w:t>
      </w:r>
      <w:r w:rsidRPr="0036253B">
        <w:rPr>
          <w:i/>
          <w:iCs/>
        </w:rPr>
        <w:t>Schönke/Schröder</w:t>
      </w:r>
      <w:r w:rsidRPr="0036253B">
        <w:t xml:space="preserve"> (o. </w:t>
      </w:r>
      <w:proofErr w:type="spellStart"/>
      <w:r w:rsidRPr="0036253B">
        <w:t>Fußn</w:t>
      </w:r>
      <w:proofErr w:type="spellEnd"/>
      <w:r w:rsidRPr="0036253B">
        <w:t xml:space="preserve">. 4), § 15 </w:t>
      </w:r>
      <w:proofErr w:type="spellStart"/>
      <w:r w:rsidRPr="0036253B">
        <w:t>Rdnr</w:t>
      </w:r>
      <w:proofErr w:type="spellEnd"/>
      <w:r w:rsidRPr="0036253B">
        <w:t>. 68.</w:t>
      </w:r>
    </w:p>
    <w:p w:rsidR="0036253B" w:rsidRPr="0036253B" w:rsidRDefault="0036253B" w:rsidP="0036253B">
      <w:pPr>
        <w:jc w:val="both"/>
      </w:pPr>
      <w:r w:rsidRPr="0036253B">
        <w:rPr>
          <w:noProof/>
          <w:lang w:eastAsia="de-DE"/>
        </w:rPr>
        <w:drawing>
          <wp:inline distT="0" distB="0" distL="0" distR="0">
            <wp:extent cx="162560" cy="95250"/>
            <wp:effectExtent l="0" t="0" r="8890" b="0"/>
            <wp:docPr id="53" name="Grafik 53" descr="zurück zum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zurück zum Tex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2560" cy="95250"/>
                    </a:xfrm>
                    <a:prstGeom prst="rect">
                      <a:avLst/>
                    </a:prstGeom>
                    <a:noFill/>
                    <a:ln>
                      <a:noFill/>
                    </a:ln>
                  </pic:spPr>
                </pic:pic>
              </a:graphicData>
            </a:graphic>
          </wp:inline>
        </w:drawing>
      </w:r>
    </w:p>
    <w:p w:rsidR="0036253B" w:rsidRPr="0036253B" w:rsidRDefault="0036253B" w:rsidP="0036253B">
      <w:pPr>
        <w:jc w:val="both"/>
      </w:pPr>
      <w:r w:rsidRPr="0036253B">
        <w:rPr>
          <w:vertAlign w:val="superscript"/>
        </w:rPr>
        <w:t>31</w:t>
      </w:r>
      <w:r w:rsidRPr="0036253B">
        <w:t> </w:t>
      </w:r>
    </w:p>
    <w:p w:rsidR="0036253B" w:rsidRPr="0036253B" w:rsidRDefault="0036253B" w:rsidP="0036253B">
      <w:pPr>
        <w:jc w:val="both"/>
      </w:pPr>
      <w:r w:rsidRPr="0036253B">
        <w:rPr>
          <w:i/>
          <w:iCs/>
        </w:rPr>
        <w:t>Sternberg-Lieben</w:t>
      </w:r>
      <w:r w:rsidRPr="0036253B">
        <w:t xml:space="preserve">, in: </w:t>
      </w:r>
      <w:r w:rsidRPr="0036253B">
        <w:rPr>
          <w:i/>
          <w:iCs/>
        </w:rPr>
        <w:t>Schönke/Schröder</w:t>
      </w:r>
      <w:r w:rsidRPr="0036253B">
        <w:t xml:space="preserve"> (o. </w:t>
      </w:r>
      <w:proofErr w:type="spellStart"/>
      <w:r w:rsidRPr="0036253B">
        <w:t>Fußn</w:t>
      </w:r>
      <w:proofErr w:type="spellEnd"/>
      <w:r w:rsidRPr="0036253B">
        <w:t xml:space="preserve">. 4), § 15 </w:t>
      </w:r>
      <w:proofErr w:type="spellStart"/>
      <w:r w:rsidRPr="0036253B">
        <w:t>Rdnr</w:t>
      </w:r>
      <w:proofErr w:type="spellEnd"/>
      <w:r w:rsidRPr="0036253B">
        <w:t>. 68.</w:t>
      </w:r>
    </w:p>
    <w:p w:rsidR="0036253B" w:rsidRPr="0036253B" w:rsidRDefault="0036253B" w:rsidP="0036253B">
      <w:pPr>
        <w:jc w:val="both"/>
      </w:pPr>
      <w:r w:rsidRPr="0036253B">
        <w:rPr>
          <w:noProof/>
          <w:lang w:eastAsia="de-DE"/>
        </w:rPr>
        <w:drawing>
          <wp:inline distT="0" distB="0" distL="0" distR="0">
            <wp:extent cx="162560" cy="95250"/>
            <wp:effectExtent l="0" t="0" r="8890" b="0"/>
            <wp:docPr id="52" name="Grafik 52" descr="zurück zum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zurück zum Tex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2560" cy="95250"/>
                    </a:xfrm>
                    <a:prstGeom prst="rect">
                      <a:avLst/>
                    </a:prstGeom>
                    <a:noFill/>
                    <a:ln>
                      <a:noFill/>
                    </a:ln>
                  </pic:spPr>
                </pic:pic>
              </a:graphicData>
            </a:graphic>
          </wp:inline>
        </w:drawing>
      </w:r>
    </w:p>
    <w:p w:rsidR="0036253B" w:rsidRPr="0036253B" w:rsidRDefault="0036253B" w:rsidP="0036253B">
      <w:pPr>
        <w:jc w:val="both"/>
      </w:pPr>
      <w:r w:rsidRPr="0036253B">
        <w:rPr>
          <w:vertAlign w:val="superscript"/>
        </w:rPr>
        <w:t>32</w:t>
      </w:r>
      <w:r w:rsidRPr="0036253B">
        <w:t> </w:t>
      </w:r>
    </w:p>
    <w:p w:rsidR="0036253B" w:rsidRPr="0036253B" w:rsidRDefault="0036253B" w:rsidP="0036253B">
      <w:pPr>
        <w:jc w:val="both"/>
      </w:pPr>
      <w:r w:rsidRPr="0036253B">
        <w:t xml:space="preserve">Diese Bezeichnung ist anerkanntermaßen </w:t>
      </w:r>
      <w:proofErr w:type="spellStart"/>
      <w:proofErr w:type="gramStart"/>
      <w:r w:rsidRPr="0036253B">
        <w:t>missverständl</w:t>
      </w:r>
      <w:proofErr w:type="spellEnd"/>
      <w:r w:rsidRPr="0036253B">
        <w:t>.,</w:t>
      </w:r>
      <w:proofErr w:type="gramEnd"/>
      <w:r w:rsidRPr="0036253B">
        <w:t xml:space="preserve"> da bei einem nur bedingten Handlungswillen ja noch gar kein Vorsatz vorliegt (</w:t>
      </w:r>
      <w:r w:rsidRPr="0036253B">
        <w:rPr>
          <w:i/>
          <w:iCs/>
        </w:rPr>
        <w:t>Roxin</w:t>
      </w:r>
      <w:r w:rsidRPr="0036253B">
        <w:t xml:space="preserve"> [o. </w:t>
      </w:r>
      <w:proofErr w:type="spellStart"/>
      <w:r w:rsidRPr="0036253B">
        <w:t>Fußn</w:t>
      </w:r>
      <w:proofErr w:type="spellEnd"/>
      <w:r w:rsidRPr="0036253B">
        <w:t xml:space="preserve">. 7], § 12 </w:t>
      </w:r>
      <w:proofErr w:type="spellStart"/>
      <w:r w:rsidRPr="0036253B">
        <w:t>Rdnr</w:t>
      </w:r>
      <w:proofErr w:type="spellEnd"/>
      <w:r w:rsidRPr="0036253B">
        <w:t>. 24), eine Frage, die sich insb. im Zusammenhang m. dem Tatentschluss d. Versuchs, aber auch im Fall der Anstiftung (</w:t>
      </w:r>
      <w:proofErr w:type="spellStart"/>
      <w:r w:rsidRPr="0036253B">
        <w:t>omnimodo</w:t>
      </w:r>
      <w:proofErr w:type="spellEnd"/>
      <w:r w:rsidRPr="0036253B">
        <w:t xml:space="preserve"> </w:t>
      </w:r>
      <w:proofErr w:type="spellStart"/>
      <w:r w:rsidRPr="0036253B">
        <w:t>facturus</w:t>
      </w:r>
      <w:proofErr w:type="spellEnd"/>
      <w:r w:rsidRPr="0036253B">
        <w:t xml:space="preserve">?) stellt, </w:t>
      </w:r>
      <w:r w:rsidRPr="0036253B">
        <w:rPr>
          <w:i/>
          <w:iCs/>
        </w:rPr>
        <w:t>Vogel</w:t>
      </w:r>
      <w:r w:rsidRPr="0036253B">
        <w:t xml:space="preserve">, in: LK-StGB (o. </w:t>
      </w:r>
      <w:proofErr w:type="spellStart"/>
      <w:r w:rsidRPr="0036253B">
        <w:t>Fußn</w:t>
      </w:r>
      <w:proofErr w:type="spellEnd"/>
      <w:r w:rsidRPr="0036253B">
        <w:t xml:space="preserve">. 1), § 15 </w:t>
      </w:r>
      <w:proofErr w:type="spellStart"/>
      <w:r w:rsidRPr="0036253B">
        <w:t>Rdnr</w:t>
      </w:r>
      <w:proofErr w:type="spellEnd"/>
      <w:r w:rsidRPr="0036253B">
        <w:t>. 100.</w:t>
      </w:r>
    </w:p>
    <w:p w:rsidR="0036253B" w:rsidRPr="0036253B" w:rsidRDefault="0036253B" w:rsidP="0036253B">
      <w:pPr>
        <w:jc w:val="both"/>
      </w:pPr>
      <w:r w:rsidRPr="0036253B">
        <w:rPr>
          <w:noProof/>
          <w:lang w:eastAsia="de-DE"/>
        </w:rPr>
        <w:drawing>
          <wp:inline distT="0" distB="0" distL="0" distR="0">
            <wp:extent cx="162560" cy="95250"/>
            <wp:effectExtent l="0" t="0" r="8890" b="0"/>
            <wp:docPr id="51" name="Grafik 51" descr="zurück zum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zurück zum Tex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2560" cy="95250"/>
                    </a:xfrm>
                    <a:prstGeom prst="rect">
                      <a:avLst/>
                    </a:prstGeom>
                    <a:noFill/>
                    <a:ln>
                      <a:noFill/>
                    </a:ln>
                  </pic:spPr>
                </pic:pic>
              </a:graphicData>
            </a:graphic>
          </wp:inline>
        </w:drawing>
      </w:r>
    </w:p>
    <w:p w:rsidR="0036253B" w:rsidRPr="0036253B" w:rsidRDefault="0036253B" w:rsidP="0036253B">
      <w:pPr>
        <w:jc w:val="both"/>
      </w:pPr>
      <w:r w:rsidRPr="0036253B">
        <w:rPr>
          <w:vertAlign w:val="superscript"/>
        </w:rPr>
        <w:t>33</w:t>
      </w:r>
      <w:r w:rsidRPr="0036253B">
        <w:t> </w:t>
      </w:r>
    </w:p>
    <w:p w:rsidR="0036253B" w:rsidRPr="0036253B" w:rsidRDefault="0036253B" w:rsidP="0036253B">
      <w:pPr>
        <w:jc w:val="both"/>
      </w:pPr>
      <w:r w:rsidRPr="0036253B">
        <w:t xml:space="preserve">So </w:t>
      </w:r>
      <w:r w:rsidRPr="0036253B">
        <w:rPr>
          <w:i/>
          <w:iCs/>
        </w:rPr>
        <w:t>Vogel</w:t>
      </w:r>
      <w:r w:rsidRPr="0036253B">
        <w:t xml:space="preserve">, in: LK-StGB (o. </w:t>
      </w:r>
      <w:proofErr w:type="spellStart"/>
      <w:r w:rsidRPr="0036253B">
        <w:t>Fußn</w:t>
      </w:r>
      <w:proofErr w:type="spellEnd"/>
      <w:r w:rsidRPr="0036253B">
        <w:t xml:space="preserve">. 1), § 15 </w:t>
      </w:r>
      <w:proofErr w:type="spellStart"/>
      <w:r w:rsidRPr="0036253B">
        <w:t>Rdnr</w:t>
      </w:r>
      <w:proofErr w:type="spellEnd"/>
      <w:r w:rsidRPr="0036253B">
        <w:t>. 127.</w:t>
      </w:r>
    </w:p>
    <w:p w:rsidR="0036253B" w:rsidRPr="0036253B" w:rsidRDefault="0036253B" w:rsidP="0036253B">
      <w:pPr>
        <w:jc w:val="both"/>
      </w:pPr>
      <w:r w:rsidRPr="0036253B">
        <w:rPr>
          <w:noProof/>
          <w:lang w:eastAsia="de-DE"/>
        </w:rPr>
        <w:drawing>
          <wp:inline distT="0" distB="0" distL="0" distR="0">
            <wp:extent cx="162560" cy="95250"/>
            <wp:effectExtent l="0" t="0" r="8890" b="0"/>
            <wp:docPr id="50" name="Grafik 50" descr="zurück zum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zurück zum Tex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2560" cy="95250"/>
                    </a:xfrm>
                    <a:prstGeom prst="rect">
                      <a:avLst/>
                    </a:prstGeom>
                    <a:noFill/>
                    <a:ln>
                      <a:noFill/>
                    </a:ln>
                  </pic:spPr>
                </pic:pic>
              </a:graphicData>
            </a:graphic>
          </wp:inline>
        </w:drawing>
      </w:r>
    </w:p>
    <w:p w:rsidR="0036253B" w:rsidRPr="0036253B" w:rsidRDefault="0036253B" w:rsidP="0036253B">
      <w:pPr>
        <w:jc w:val="both"/>
      </w:pPr>
      <w:r w:rsidRPr="0036253B">
        <w:rPr>
          <w:vertAlign w:val="superscript"/>
        </w:rPr>
        <w:t>34</w:t>
      </w:r>
      <w:r w:rsidRPr="0036253B">
        <w:t> </w:t>
      </w:r>
    </w:p>
    <w:p w:rsidR="0036253B" w:rsidRPr="0036253B" w:rsidRDefault="0036253B" w:rsidP="0036253B">
      <w:pPr>
        <w:jc w:val="both"/>
      </w:pPr>
      <w:r w:rsidRPr="0036253B">
        <w:t xml:space="preserve">Pars pro toto: </w:t>
      </w:r>
      <w:r w:rsidRPr="0036253B">
        <w:rPr>
          <w:i/>
          <w:iCs/>
        </w:rPr>
        <w:t>Geppert</w:t>
      </w:r>
      <w:r w:rsidRPr="0036253B">
        <w:t xml:space="preserve">, Jura 2006, 610 ff.; </w:t>
      </w:r>
      <w:r w:rsidRPr="0036253B">
        <w:rPr>
          <w:i/>
          <w:iCs/>
        </w:rPr>
        <w:t>ders.</w:t>
      </w:r>
      <w:r w:rsidRPr="0036253B">
        <w:t xml:space="preserve">, Jura 2001, 55 ff.; </w:t>
      </w:r>
      <w:r w:rsidRPr="0036253B">
        <w:rPr>
          <w:i/>
          <w:iCs/>
        </w:rPr>
        <w:t>Heinrich</w:t>
      </w:r>
      <w:r w:rsidRPr="0036253B">
        <w:t xml:space="preserve">, AT I, 2. Aufl. (2010), </w:t>
      </w:r>
      <w:proofErr w:type="spellStart"/>
      <w:r w:rsidRPr="0036253B">
        <w:t>Rdnrn</w:t>
      </w:r>
      <w:proofErr w:type="spellEnd"/>
      <w:r w:rsidRPr="0036253B">
        <w:t xml:space="preserve">. 298 ff.; </w:t>
      </w:r>
      <w:r w:rsidRPr="0036253B">
        <w:rPr>
          <w:i/>
          <w:iCs/>
        </w:rPr>
        <w:t>Hillenkamp</w:t>
      </w:r>
      <w:r w:rsidRPr="0036253B">
        <w:t xml:space="preserve">, 32 Probleme </w:t>
      </w:r>
      <w:proofErr w:type="spellStart"/>
      <w:r w:rsidRPr="0036253B">
        <w:t>StrafR</w:t>
      </w:r>
      <w:proofErr w:type="spellEnd"/>
      <w:r w:rsidRPr="0036253B">
        <w:t xml:space="preserve"> AT, 13. Aufl. (2010), 1. Problem; </w:t>
      </w:r>
      <w:r w:rsidRPr="0036253B">
        <w:rPr>
          <w:i/>
          <w:iCs/>
        </w:rPr>
        <w:t>Kühl</w:t>
      </w:r>
      <w:r w:rsidRPr="0036253B">
        <w:t xml:space="preserve"> (o. </w:t>
      </w:r>
      <w:proofErr w:type="spellStart"/>
      <w:r w:rsidRPr="0036253B">
        <w:t>Fußn</w:t>
      </w:r>
      <w:proofErr w:type="spellEnd"/>
      <w:r w:rsidRPr="0036253B">
        <w:t xml:space="preserve">. 1), § 5 </w:t>
      </w:r>
      <w:proofErr w:type="spellStart"/>
      <w:r w:rsidRPr="0036253B">
        <w:t>Rdnrn</w:t>
      </w:r>
      <w:proofErr w:type="spellEnd"/>
      <w:r w:rsidRPr="0036253B">
        <w:t>. 43 ff.</w:t>
      </w:r>
    </w:p>
    <w:p w:rsidR="0036253B" w:rsidRPr="0036253B" w:rsidRDefault="0036253B" w:rsidP="0036253B">
      <w:pPr>
        <w:jc w:val="both"/>
      </w:pPr>
      <w:r w:rsidRPr="0036253B">
        <w:rPr>
          <w:noProof/>
          <w:lang w:eastAsia="de-DE"/>
        </w:rPr>
        <w:drawing>
          <wp:inline distT="0" distB="0" distL="0" distR="0">
            <wp:extent cx="162560" cy="95250"/>
            <wp:effectExtent l="0" t="0" r="8890" b="0"/>
            <wp:docPr id="49" name="Grafik 49" descr="zurück zum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zurück zum Tex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2560" cy="95250"/>
                    </a:xfrm>
                    <a:prstGeom prst="rect">
                      <a:avLst/>
                    </a:prstGeom>
                    <a:noFill/>
                    <a:ln>
                      <a:noFill/>
                    </a:ln>
                  </pic:spPr>
                </pic:pic>
              </a:graphicData>
            </a:graphic>
          </wp:inline>
        </w:drawing>
      </w:r>
    </w:p>
    <w:p w:rsidR="0036253B" w:rsidRPr="0036253B" w:rsidRDefault="0036253B" w:rsidP="0036253B">
      <w:pPr>
        <w:jc w:val="both"/>
      </w:pPr>
      <w:r w:rsidRPr="0036253B">
        <w:rPr>
          <w:vertAlign w:val="superscript"/>
        </w:rPr>
        <w:t>35</w:t>
      </w:r>
      <w:r w:rsidRPr="0036253B">
        <w:t> </w:t>
      </w:r>
    </w:p>
    <w:p w:rsidR="0036253B" w:rsidRPr="0036253B" w:rsidRDefault="0036253B" w:rsidP="0036253B">
      <w:pPr>
        <w:jc w:val="both"/>
      </w:pPr>
      <w:proofErr w:type="spellStart"/>
      <w:r w:rsidRPr="0036253B">
        <w:rPr>
          <w:i/>
          <w:iCs/>
        </w:rPr>
        <w:t>Rönnau</w:t>
      </w:r>
      <w:proofErr w:type="spellEnd"/>
      <w:r w:rsidRPr="0036253B">
        <w:t xml:space="preserve">, </w:t>
      </w:r>
      <w:proofErr w:type="spellStart"/>
      <w:r w:rsidRPr="0036253B">
        <w:t>JuS</w:t>
      </w:r>
      <w:proofErr w:type="spellEnd"/>
      <w:r w:rsidRPr="0036253B">
        <w:t xml:space="preserve"> 2010, 675 (677).</w:t>
      </w:r>
    </w:p>
    <w:p w:rsidR="0036253B" w:rsidRPr="0036253B" w:rsidRDefault="0036253B" w:rsidP="0036253B">
      <w:pPr>
        <w:jc w:val="both"/>
      </w:pPr>
      <w:r w:rsidRPr="0036253B">
        <w:rPr>
          <w:noProof/>
          <w:lang w:eastAsia="de-DE"/>
        </w:rPr>
        <w:drawing>
          <wp:inline distT="0" distB="0" distL="0" distR="0">
            <wp:extent cx="162560" cy="95250"/>
            <wp:effectExtent l="0" t="0" r="8890" b="0"/>
            <wp:docPr id="48" name="Grafik 48" descr="zurück zum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zurück zum Tex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2560" cy="95250"/>
                    </a:xfrm>
                    <a:prstGeom prst="rect">
                      <a:avLst/>
                    </a:prstGeom>
                    <a:noFill/>
                    <a:ln>
                      <a:noFill/>
                    </a:ln>
                  </pic:spPr>
                </pic:pic>
              </a:graphicData>
            </a:graphic>
          </wp:inline>
        </w:drawing>
      </w:r>
    </w:p>
    <w:p w:rsidR="0036253B" w:rsidRPr="0036253B" w:rsidRDefault="0036253B" w:rsidP="0036253B">
      <w:pPr>
        <w:jc w:val="both"/>
      </w:pPr>
      <w:r w:rsidRPr="0036253B">
        <w:rPr>
          <w:vertAlign w:val="superscript"/>
        </w:rPr>
        <w:t>36</w:t>
      </w:r>
      <w:r w:rsidRPr="0036253B">
        <w:t> </w:t>
      </w:r>
    </w:p>
    <w:p w:rsidR="0036253B" w:rsidRPr="0036253B" w:rsidRDefault="0036253B" w:rsidP="0036253B">
      <w:pPr>
        <w:jc w:val="both"/>
      </w:pPr>
      <w:r w:rsidRPr="0036253B">
        <w:rPr>
          <w:i/>
          <w:iCs/>
        </w:rPr>
        <w:t>Hellmuth Mayer</w:t>
      </w:r>
      <w:r w:rsidRPr="0036253B">
        <w:t xml:space="preserve">, AT, 1953, S. 250 f.; hierzu </w:t>
      </w:r>
      <w:proofErr w:type="spellStart"/>
      <w:r w:rsidRPr="0036253B">
        <w:t>krit</w:t>
      </w:r>
      <w:proofErr w:type="spellEnd"/>
      <w:r w:rsidRPr="0036253B">
        <w:t xml:space="preserve">. </w:t>
      </w:r>
      <w:r w:rsidRPr="0036253B">
        <w:rPr>
          <w:i/>
          <w:iCs/>
        </w:rPr>
        <w:t>Murmann</w:t>
      </w:r>
      <w:r w:rsidRPr="0036253B">
        <w:t xml:space="preserve"> (o. </w:t>
      </w:r>
      <w:proofErr w:type="spellStart"/>
      <w:r w:rsidRPr="0036253B">
        <w:t>Fußn</w:t>
      </w:r>
      <w:proofErr w:type="spellEnd"/>
      <w:r w:rsidRPr="0036253B">
        <w:t xml:space="preserve">. 12), § 24 </w:t>
      </w:r>
      <w:proofErr w:type="spellStart"/>
      <w:r w:rsidRPr="0036253B">
        <w:t>Rdnr</w:t>
      </w:r>
      <w:proofErr w:type="spellEnd"/>
      <w:r w:rsidRPr="0036253B">
        <w:t>. 30.</w:t>
      </w:r>
    </w:p>
    <w:p w:rsidR="0036253B" w:rsidRPr="0036253B" w:rsidRDefault="0036253B" w:rsidP="0036253B">
      <w:pPr>
        <w:jc w:val="both"/>
      </w:pPr>
      <w:r w:rsidRPr="0036253B">
        <w:rPr>
          <w:noProof/>
          <w:lang w:eastAsia="de-DE"/>
        </w:rPr>
        <w:drawing>
          <wp:inline distT="0" distB="0" distL="0" distR="0">
            <wp:extent cx="162560" cy="95250"/>
            <wp:effectExtent l="0" t="0" r="8890" b="0"/>
            <wp:docPr id="47" name="Grafik 47" descr="zurück zum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zurück zum Tex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2560" cy="95250"/>
                    </a:xfrm>
                    <a:prstGeom prst="rect">
                      <a:avLst/>
                    </a:prstGeom>
                    <a:noFill/>
                    <a:ln>
                      <a:noFill/>
                    </a:ln>
                  </pic:spPr>
                </pic:pic>
              </a:graphicData>
            </a:graphic>
          </wp:inline>
        </w:drawing>
      </w:r>
    </w:p>
    <w:p w:rsidR="0036253B" w:rsidRPr="0036253B" w:rsidRDefault="0036253B" w:rsidP="0036253B">
      <w:pPr>
        <w:jc w:val="both"/>
      </w:pPr>
      <w:r w:rsidRPr="0036253B">
        <w:rPr>
          <w:vertAlign w:val="superscript"/>
        </w:rPr>
        <w:t>37</w:t>
      </w:r>
      <w:r w:rsidRPr="0036253B">
        <w:t> </w:t>
      </w:r>
    </w:p>
    <w:p w:rsidR="0036253B" w:rsidRPr="0036253B" w:rsidRDefault="0036253B" w:rsidP="0036253B">
      <w:pPr>
        <w:jc w:val="both"/>
      </w:pPr>
      <w:r w:rsidRPr="0036253B">
        <w:rPr>
          <w:i/>
          <w:iCs/>
        </w:rPr>
        <w:t>Schmidhäuser</w:t>
      </w:r>
      <w:r w:rsidRPr="0036253B">
        <w:t>, JuS 1980, 241 (246 f., 249 f.).</w:t>
      </w:r>
    </w:p>
    <w:p w:rsidR="0036253B" w:rsidRPr="0036253B" w:rsidRDefault="0036253B" w:rsidP="0036253B">
      <w:pPr>
        <w:jc w:val="both"/>
      </w:pPr>
      <w:r w:rsidRPr="0036253B">
        <w:rPr>
          <w:noProof/>
          <w:lang w:eastAsia="de-DE"/>
        </w:rPr>
        <w:drawing>
          <wp:inline distT="0" distB="0" distL="0" distR="0">
            <wp:extent cx="162560" cy="95250"/>
            <wp:effectExtent l="0" t="0" r="8890" b="0"/>
            <wp:docPr id="46" name="Grafik 46" descr="zurück zum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zurück zum Tex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2560" cy="95250"/>
                    </a:xfrm>
                    <a:prstGeom prst="rect">
                      <a:avLst/>
                    </a:prstGeom>
                    <a:noFill/>
                    <a:ln>
                      <a:noFill/>
                    </a:ln>
                  </pic:spPr>
                </pic:pic>
              </a:graphicData>
            </a:graphic>
          </wp:inline>
        </w:drawing>
      </w:r>
    </w:p>
    <w:p w:rsidR="0036253B" w:rsidRPr="0036253B" w:rsidRDefault="0036253B" w:rsidP="0036253B">
      <w:pPr>
        <w:jc w:val="both"/>
      </w:pPr>
      <w:r w:rsidRPr="0036253B">
        <w:rPr>
          <w:vertAlign w:val="superscript"/>
        </w:rPr>
        <w:t>38</w:t>
      </w:r>
      <w:r w:rsidRPr="0036253B">
        <w:t> </w:t>
      </w:r>
    </w:p>
    <w:p w:rsidR="0036253B" w:rsidRPr="0036253B" w:rsidRDefault="0036253B" w:rsidP="0036253B">
      <w:pPr>
        <w:jc w:val="both"/>
      </w:pPr>
      <w:r w:rsidRPr="0036253B">
        <w:rPr>
          <w:i/>
          <w:iCs/>
        </w:rPr>
        <w:t>Puppe</w:t>
      </w:r>
      <w:r w:rsidRPr="0036253B">
        <w:t xml:space="preserve">, in: NK-StGB (o. </w:t>
      </w:r>
      <w:proofErr w:type="spellStart"/>
      <w:r w:rsidRPr="0036253B">
        <w:t>Fußn</w:t>
      </w:r>
      <w:proofErr w:type="spellEnd"/>
      <w:r w:rsidRPr="0036253B">
        <w:t xml:space="preserve">. 2), § 15 </w:t>
      </w:r>
      <w:proofErr w:type="spellStart"/>
      <w:r w:rsidRPr="0036253B">
        <w:t>Rdnr</w:t>
      </w:r>
      <w:proofErr w:type="spellEnd"/>
      <w:r w:rsidRPr="0036253B">
        <w:t xml:space="preserve">. 71; dies. (o. </w:t>
      </w:r>
      <w:proofErr w:type="spellStart"/>
      <w:r w:rsidRPr="0036253B">
        <w:t>Fußn</w:t>
      </w:r>
      <w:proofErr w:type="spellEnd"/>
      <w:r w:rsidRPr="0036253B">
        <w:t xml:space="preserve">. 8), § 9 </w:t>
      </w:r>
      <w:proofErr w:type="spellStart"/>
      <w:r w:rsidRPr="0036253B">
        <w:t>Rdnr</w:t>
      </w:r>
      <w:proofErr w:type="spellEnd"/>
      <w:r w:rsidRPr="0036253B">
        <w:t xml:space="preserve">. 11; </w:t>
      </w:r>
      <w:proofErr w:type="spellStart"/>
      <w:r w:rsidRPr="0036253B">
        <w:t>ähnl</w:t>
      </w:r>
      <w:proofErr w:type="spellEnd"/>
      <w:r w:rsidRPr="0036253B">
        <w:t xml:space="preserve">. </w:t>
      </w:r>
      <w:r w:rsidRPr="0036253B">
        <w:rPr>
          <w:i/>
          <w:iCs/>
        </w:rPr>
        <w:t>Herzberg</w:t>
      </w:r>
      <w:r w:rsidRPr="0036253B">
        <w:t xml:space="preserve">, JuS 1986, 249 (262: ernstzunehmende Gefahr), der die Abgrenzung allerdings in den obj. Tatbestand verlagert (hierzu </w:t>
      </w:r>
      <w:proofErr w:type="spellStart"/>
      <w:r w:rsidRPr="0036253B">
        <w:t>krit</w:t>
      </w:r>
      <w:proofErr w:type="spellEnd"/>
      <w:r w:rsidRPr="0036253B">
        <w:t xml:space="preserve">. </w:t>
      </w:r>
      <w:r w:rsidRPr="0036253B">
        <w:rPr>
          <w:i/>
          <w:iCs/>
        </w:rPr>
        <w:t>Puppe</w:t>
      </w:r>
      <w:r w:rsidRPr="0036253B">
        <w:t xml:space="preserve">, in: NK-StGB [o. </w:t>
      </w:r>
      <w:proofErr w:type="spellStart"/>
      <w:r w:rsidRPr="0036253B">
        <w:t>Fußn</w:t>
      </w:r>
      <w:proofErr w:type="spellEnd"/>
      <w:r w:rsidRPr="0036253B">
        <w:t xml:space="preserve">. 2], § 15 </w:t>
      </w:r>
      <w:proofErr w:type="spellStart"/>
      <w:r w:rsidRPr="0036253B">
        <w:t>Rdnr</w:t>
      </w:r>
      <w:proofErr w:type="spellEnd"/>
      <w:r w:rsidRPr="0036253B">
        <w:t>. 64).</w:t>
      </w:r>
    </w:p>
    <w:p w:rsidR="0036253B" w:rsidRPr="0036253B" w:rsidRDefault="0036253B" w:rsidP="0036253B">
      <w:pPr>
        <w:jc w:val="both"/>
      </w:pPr>
      <w:r w:rsidRPr="0036253B">
        <w:rPr>
          <w:noProof/>
          <w:lang w:eastAsia="de-DE"/>
        </w:rPr>
        <w:drawing>
          <wp:inline distT="0" distB="0" distL="0" distR="0">
            <wp:extent cx="162560" cy="95250"/>
            <wp:effectExtent l="0" t="0" r="8890" b="0"/>
            <wp:docPr id="45" name="Grafik 45" descr="zurück zum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zurück zum Tex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2560" cy="95250"/>
                    </a:xfrm>
                    <a:prstGeom prst="rect">
                      <a:avLst/>
                    </a:prstGeom>
                    <a:noFill/>
                    <a:ln>
                      <a:noFill/>
                    </a:ln>
                  </pic:spPr>
                </pic:pic>
              </a:graphicData>
            </a:graphic>
          </wp:inline>
        </w:drawing>
      </w:r>
    </w:p>
    <w:p w:rsidR="0036253B" w:rsidRPr="0036253B" w:rsidRDefault="0036253B" w:rsidP="0036253B">
      <w:pPr>
        <w:jc w:val="both"/>
      </w:pPr>
      <w:r w:rsidRPr="0036253B">
        <w:rPr>
          <w:vertAlign w:val="superscript"/>
        </w:rPr>
        <w:t>39</w:t>
      </w:r>
      <w:r w:rsidRPr="0036253B">
        <w:t> </w:t>
      </w:r>
    </w:p>
    <w:p w:rsidR="0036253B" w:rsidRPr="0036253B" w:rsidRDefault="0036253B" w:rsidP="0036253B">
      <w:pPr>
        <w:jc w:val="both"/>
      </w:pPr>
      <w:r w:rsidRPr="0036253B">
        <w:t>BGHSt 7, 363 (369) = NJW 1955, 1688 (1690); 36, 1 (9) = NJW 1989, 781 (783).</w:t>
      </w:r>
    </w:p>
    <w:p w:rsidR="0036253B" w:rsidRPr="0036253B" w:rsidRDefault="0036253B" w:rsidP="0036253B">
      <w:pPr>
        <w:jc w:val="both"/>
      </w:pPr>
      <w:r w:rsidRPr="0036253B">
        <w:rPr>
          <w:noProof/>
          <w:lang w:eastAsia="de-DE"/>
        </w:rPr>
        <w:drawing>
          <wp:inline distT="0" distB="0" distL="0" distR="0">
            <wp:extent cx="162560" cy="95250"/>
            <wp:effectExtent l="0" t="0" r="8890" b="0"/>
            <wp:docPr id="44" name="Grafik 44" descr="zurück zum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zurück zum Tex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2560" cy="95250"/>
                    </a:xfrm>
                    <a:prstGeom prst="rect">
                      <a:avLst/>
                    </a:prstGeom>
                    <a:noFill/>
                    <a:ln>
                      <a:noFill/>
                    </a:ln>
                  </pic:spPr>
                </pic:pic>
              </a:graphicData>
            </a:graphic>
          </wp:inline>
        </w:drawing>
      </w:r>
    </w:p>
    <w:p w:rsidR="0036253B" w:rsidRPr="0036253B" w:rsidRDefault="0036253B" w:rsidP="0036253B">
      <w:pPr>
        <w:jc w:val="both"/>
      </w:pPr>
      <w:r w:rsidRPr="0036253B">
        <w:rPr>
          <w:vertAlign w:val="superscript"/>
        </w:rPr>
        <w:t>40</w:t>
      </w:r>
      <w:r w:rsidRPr="0036253B">
        <w:t> </w:t>
      </w:r>
    </w:p>
    <w:p w:rsidR="0036253B" w:rsidRPr="0036253B" w:rsidRDefault="0036253B" w:rsidP="0036253B">
      <w:pPr>
        <w:jc w:val="both"/>
      </w:pPr>
      <w:r w:rsidRPr="0036253B">
        <w:t>BGHSt 36, 1 (9 f.) = NJW 1989, 781 (783).</w:t>
      </w:r>
    </w:p>
    <w:p w:rsidR="0036253B" w:rsidRPr="0036253B" w:rsidRDefault="0036253B" w:rsidP="0036253B">
      <w:pPr>
        <w:jc w:val="both"/>
      </w:pPr>
      <w:r w:rsidRPr="0036253B">
        <w:rPr>
          <w:noProof/>
          <w:lang w:eastAsia="de-DE"/>
        </w:rPr>
        <w:drawing>
          <wp:inline distT="0" distB="0" distL="0" distR="0">
            <wp:extent cx="162560" cy="95250"/>
            <wp:effectExtent l="0" t="0" r="8890" b="0"/>
            <wp:docPr id="43" name="Grafik 43" descr="zurück zum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zurück zum Tex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2560" cy="95250"/>
                    </a:xfrm>
                    <a:prstGeom prst="rect">
                      <a:avLst/>
                    </a:prstGeom>
                    <a:noFill/>
                    <a:ln>
                      <a:noFill/>
                    </a:ln>
                  </pic:spPr>
                </pic:pic>
              </a:graphicData>
            </a:graphic>
          </wp:inline>
        </w:drawing>
      </w:r>
    </w:p>
    <w:p w:rsidR="0036253B" w:rsidRPr="0036253B" w:rsidRDefault="0036253B" w:rsidP="0036253B">
      <w:pPr>
        <w:jc w:val="both"/>
      </w:pPr>
      <w:r w:rsidRPr="0036253B">
        <w:rPr>
          <w:vertAlign w:val="superscript"/>
        </w:rPr>
        <w:t>41</w:t>
      </w:r>
      <w:r w:rsidRPr="0036253B">
        <w:t> </w:t>
      </w:r>
    </w:p>
    <w:p w:rsidR="0036253B" w:rsidRPr="0036253B" w:rsidRDefault="0036253B" w:rsidP="0036253B">
      <w:pPr>
        <w:jc w:val="both"/>
      </w:pPr>
      <w:r w:rsidRPr="0036253B">
        <w:t xml:space="preserve">S. BGHSt 7, 363 (369) = NJW 1955, 1688 (1690): „Im Rechtssinne billigt er diesen Erfolg trotzdem, wenn er, um des erstrebten Zieles willen, notfalls, d. h. </w:t>
      </w:r>
      <w:proofErr w:type="spellStart"/>
      <w:r w:rsidRPr="0036253B">
        <w:t>wofern</w:t>
      </w:r>
      <w:proofErr w:type="spellEnd"/>
      <w:r w:rsidRPr="0036253B">
        <w:t xml:space="preserve"> er anders sein Ziel nicht erreichen kann, sich auch damit abfindet, </w:t>
      </w:r>
      <w:proofErr w:type="spellStart"/>
      <w:r w:rsidRPr="0036253B">
        <w:t>daß</w:t>
      </w:r>
      <w:proofErr w:type="spellEnd"/>
      <w:r w:rsidRPr="0036253B">
        <w:t xml:space="preserve"> seine Handlung den an sich unerwünschten Erfolg herbeiführt, und ihn damit für den Fall seines Eintritts will“.</w:t>
      </w:r>
    </w:p>
    <w:p w:rsidR="0036253B" w:rsidRPr="0036253B" w:rsidRDefault="0036253B" w:rsidP="0036253B">
      <w:pPr>
        <w:jc w:val="both"/>
      </w:pPr>
      <w:r w:rsidRPr="0036253B">
        <w:rPr>
          <w:noProof/>
          <w:lang w:eastAsia="de-DE"/>
        </w:rPr>
        <w:drawing>
          <wp:inline distT="0" distB="0" distL="0" distR="0">
            <wp:extent cx="162560" cy="95250"/>
            <wp:effectExtent l="0" t="0" r="8890" b="0"/>
            <wp:docPr id="42" name="Grafik 42" descr="zurück zum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zurück zum Tex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2560" cy="95250"/>
                    </a:xfrm>
                    <a:prstGeom prst="rect">
                      <a:avLst/>
                    </a:prstGeom>
                    <a:noFill/>
                    <a:ln>
                      <a:noFill/>
                    </a:ln>
                  </pic:spPr>
                </pic:pic>
              </a:graphicData>
            </a:graphic>
          </wp:inline>
        </w:drawing>
      </w:r>
    </w:p>
    <w:p w:rsidR="0036253B" w:rsidRPr="0036253B" w:rsidRDefault="0036253B" w:rsidP="0036253B">
      <w:pPr>
        <w:jc w:val="both"/>
      </w:pPr>
      <w:r w:rsidRPr="0036253B">
        <w:rPr>
          <w:vertAlign w:val="superscript"/>
        </w:rPr>
        <w:t>42</w:t>
      </w:r>
      <w:r w:rsidRPr="0036253B">
        <w:t> </w:t>
      </w:r>
    </w:p>
    <w:p w:rsidR="0036253B" w:rsidRPr="0036253B" w:rsidRDefault="0036253B" w:rsidP="0036253B">
      <w:pPr>
        <w:jc w:val="both"/>
      </w:pPr>
      <w:r w:rsidRPr="0036253B">
        <w:t xml:space="preserve">Z. B. </w:t>
      </w:r>
      <w:r w:rsidRPr="0036253B">
        <w:rPr>
          <w:i/>
          <w:iCs/>
        </w:rPr>
        <w:t>BGH</w:t>
      </w:r>
      <w:r w:rsidRPr="0036253B">
        <w:t>, NStZ 2008, 93 (93 f.): „… liegt die Annahme einer Billigung nahe, wenn der Täter sein Vorhaben trotz erkannter Lebensgefährlichkeit durchführt…“.</w:t>
      </w:r>
    </w:p>
    <w:p w:rsidR="0036253B" w:rsidRPr="0036253B" w:rsidRDefault="0036253B" w:rsidP="0036253B">
      <w:pPr>
        <w:jc w:val="both"/>
      </w:pPr>
      <w:r w:rsidRPr="0036253B">
        <w:rPr>
          <w:noProof/>
          <w:lang w:eastAsia="de-DE"/>
        </w:rPr>
        <w:drawing>
          <wp:inline distT="0" distB="0" distL="0" distR="0">
            <wp:extent cx="162560" cy="95250"/>
            <wp:effectExtent l="0" t="0" r="8890" b="0"/>
            <wp:docPr id="41" name="Grafik 41" descr="zurück zum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zurück zum Tex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2560" cy="95250"/>
                    </a:xfrm>
                    <a:prstGeom prst="rect">
                      <a:avLst/>
                    </a:prstGeom>
                    <a:noFill/>
                    <a:ln>
                      <a:noFill/>
                    </a:ln>
                  </pic:spPr>
                </pic:pic>
              </a:graphicData>
            </a:graphic>
          </wp:inline>
        </w:drawing>
      </w:r>
    </w:p>
    <w:p w:rsidR="0036253B" w:rsidRPr="0036253B" w:rsidRDefault="0036253B" w:rsidP="0036253B">
      <w:pPr>
        <w:jc w:val="both"/>
      </w:pPr>
      <w:r w:rsidRPr="0036253B">
        <w:rPr>
          <w:vertAlign w:val="superscript"/>
        </w:rPr>
        <w:t>43</w:t>
      </w:r>
      <w:r w:rsidRPr="0036253B">
        <w:t> </w:t>
      </w:r>
    </w:p>
    <w:p w:rsidR="0036253B" w:rsidRPr="0036253B" w:rsidRDefault="0036253B" w:rsidP="0036253B">
      <w:pPr>
        <w:jc w:val="both"/>
      </w:pPr>
      <w:proofErr w:type="spellStart"/>
      <w:r w:rsidRPr="0036253B">
        <w:t>Krit</w:t>
      </w:r>
      <w:proofErr w:type="spellEnd"/>
      <w:r w:rsidRPr="0036253B">
        <w:t xml:space="preserve">. </w:t>
      </w:r>
      <w:r w:rsidRPr="0036253B">
        <w:rPr>
          <w:i/>
          <w:iCs/>
        </w:rPr>
        <w:t>Puppe</w:t>
      </w:r>
      <w:r w:rsidRPr="0036253B">
        <w:t xml:space="preserve">, in: NK-StGB (o. </w:t>
      </w:r>
      <w:proofErr w:type="spellStart"/>
      <w:r w:rsidRPr="0036253B">
        <w:t>Fußn</w:t>
      </w:r>
      <w:proofErr w:type="spellEnd"/>
      <w:r w:rsidRPr="0036253B">
        <w:t xml:space="preserve">. 2), § 15 </w:t>
      </w:r>
      <w:proofErr w:type="spellStart"/>
      <w:r w:rsidRPr="0036253B">
        <w:t>Rdnr</w:t>
      </w:r>
      <w:proofErr w:type="spellEnd"/>
      <w:r w:rsidRPr="0036253B">
        <w:t xml:space="preserve">. 33; </w:t>
      </w:r>
      <w:r w:rsidRPr="0036253B">
        <w:rPr>
          <w:i/>
          <w:iCs/>
        </w:rPr>
        <w:t>Schmidhäuser</w:t>
      </w:r>
      <w:r w:rsidRPr="0036253B">
        <w:t>, JuS 1980, 242 (246: „leere Begriffshülse“).</w:t>
      </w:r>
    </w:p>
    <w:p w:rsidR="0036253B" w:rsidRPr="0036253B" w:rsidRDefault="0036253B" w:rsidP="0036253B">
      <w:pPr>
        <w:jc w:val="both"/>
      </w:pPr>
      <w:r w:rsidRPr="0036253B">
        <w:rPr>
          <w:noProof/>
          <w:lang w:eastAsia="de-DE"/>
        </w:rPr>
        <w:drawing>
          <wp:inline distT="0" distB="0" distL="0" distR="0">
            <wp:extent cx="162560" cy="95250"/>
            <wp:effectExtent l="0" t="0" r="8890" b="0"/>
            <wp:docPr id="40" name="Grafik 40" descr="zurück zum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zurück zum Tex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2560" cy="95250"/>
                    </a:xfrm>
                    <a:prstGeom prst="rect">
                      <a:avLst/>
                    </a:prstGeom>
                    <a:noFill/>
                    <a:ln>
                      <a:noFill/>
                    </a:ln>
                  </pic:spPr>
                </pic:pic>
              </a:graphicData>
            </a:graphic>
          </wp:inline>
        </w:drawing>
      </w:r>
    </w:p>
    <w:p w:rsidR="0036253B" w:rsidRPr="0036253B" w:rsidRDefault="0036253B" w:rsidP="0036253B">
      <w:pPr>
        <w:jc w:val="both"/>
      </w:pPr>
      <w:r w:rsidRPr="0036253B">
        <w:rPr>
          <w:vertAlign w:val="superscript"/>
        </w:rPr>
        <w:t>44</w:t>
      </w:r>
      <w:r w:rsidRPr="0036253B">
        <w:t> </w:t>
      </w:r>
    </w:p>
    <w:p w:rsidR="0036253B" w:rsidRPr="0036253B" w:rsidRDefault="0036253B" w:rsidP="0036253B">
      <w:pPr>
        <w:jc w:val="both"/>
      </w:pPr>
      <w:r w:rsidRPr="0036253B">
        <w:rPr>
          <w:i/>
          <w:iCs/>
        </w:rPr>
        <w:t>Kühl</w:t>
      </w:r>
      <w:r w:rsidRPr="0036253B">
        <w:t xml:space="preserve"> (o. </w:t>
      </w:r>
      <w:proofErr w:type="spellStart"/>
      <w:r w:rsidRPr="0036253B">
        <w:t>Fußn</w:t>
      </w:r>
      <w:proofErr w:type="spellEnd"/>
      <w:r w:rsidRPr="0036253B">
        <w:t xml:space="preserve">. 1), § 5 </w:t>
      </w:r>
      <w:proofErr w:type="spellStart"/>
      <w:r w:rsidRPr="0036253B">
        <w:t>Rdnr</w:t>
      </w:r>
      <w:proofErr w:type="spellEnd"/>
      <w:r w:rsidRPr="0036253B">
        <w:t xml:space="preserve">. 85; </w:t>
      </w:r>
      <w:r w:rsidRPr="0036253B">
        <w:rPr>
          <w:i/>
          <w:iCs/>
        </w:rPr>
        <w:t>Rengier</w:t>
      </w:r>
      <w:r w:rsidRPr="0036253B">
        <w:t xml:space="preserve"> (o. </w:t>
      </w:r>
      <w:proofErr w:type="spellStart"/>
      <w:r w:rsidRPr="0036253B">
        <w:t>Fußn</w:t>
      </w:r>
      <w:proofErr w:type="spellEnd"/>
      <w:r w:rsidRPr="0036253B">
        <w:t xml:space="preserve">. 9), § 14 </w:t>
      </w:r>
      <w:proofErr w:type="spellStart"/>
      <w:r w:rsidRPr="0036253B">
        <w:t>Rdnr</w:t>
      </w:r>
      <w:proofErr w:type="spellEnd"/>
      <w:r w:rsidRPr="0036253B">
        <w:t xml:space="preserve">. 30; </w:t>
      </w:r>
      <w:r w:rsidRPr="0036253B">
        <w:rPr>
          <w:i/>
          <w:iCs/>
        </w:rPr>
        <w:t>Roxin</w:t>
      </w:r>
      <w:r w:rsidRPr="0036253B">
        <w:t xml:space="preserve"> (o. </w:t>
      </w:r>
      <w:proofErr w:type="spellStart"/>
      <w:r w:rsidRPr="0036253B">
        <w:t>Fußn</w:t>
      </w:r>
      <w:proofErr w:type="spellEnd"/>
      <w:r w:rsidRPr="0036253B">
        <w:t xml:space="preserve">. 7), § 12 </w:t>
      </w:r>
      <w:proofErr w:type="spellStart"/>
      <w:r w:rsidRPr="0036253B">
        <w:t>Rdnrn</w:t>
      </w:r>
      <w:proofErr w:type="spellEnd"/>
      <w:r w:rsidRPr="0036253B">
        <w:t xml:space="preserve">. 27 ff.; </w:t>
      </w:r>
      <w:r w:rsidRPr="0036253B">
        <w:rPr>
          <w:i/>
          <w:iCs/>
        </w:rPr>
        <w:t>Wessels/Beulke</w:t>
      </w:r>
      <w:r w:rsidRPr="0036253B">
        <w:t xml:space="preserve"> (o. </w:t>
      </w:r>
      <w:proofErr w:type="spellStart"/>
      <w:r w:rsidRPr="0036253B">
        <w:t>Fußn</w:t>
      </w:r>
      <w:proofErr w:type="spellEnd"/>
      <w:r w:rsidRPr="0036253B">
        <w:t xml:space="preserve">. 9), </w:t>
      </w:r>
      <w:proofErr w:type="spellStart"/>
      <w:r w:rsidRPr="0036253B">
        <w:t>Rdnrn</w:t>
      </w:r>
      <w:proofErr w:type="spellEnd"/>
      <w:r w:rsidRPr="0036253B">
        <w:t>. 225 f.</w:t>
      </w:r>
    </w:p>
    <w:p w:rsidR="0036253B" w:rsidRPr="0036253B" w:rsidRDefault="0036253B" w:rsidP="0036253B">
      <w:pPr>
        <w:jc w:val="both"/>
      </w:pPr>
      <w:r w:rsidRPr="0036253B">
        <w:rPr>
          <w:noProof/>
          <w:lang w:eastAsia="de-DE"/>
        </w:rPr>
        <w:drawing>
          <wp:inline distT="0" distB="0" distL="0" distR="0">
            <wp:extent cx="162560" cy="95250"/>
            <wp:effectExtent l="0" t="0" r="8890" b="0"/>
            <wp:docPr id="39" name="Grafik 39" descr="zurück zum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zurück zum Tex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2560" cy="95250"/>
                    </a:xfrm>
                    <a:prstGeom prst="rect">
                      <a:avLst/>
                    </a:prstGeom>
                    <a:noFill/>
                    <a:ln>
                      <a:noFill/>
                    </a:ln>
                  </pic:spPr>
                </pic:pic>
              </a:graphicData>
            </a:graphic>
          </wp:inline>
        </w:drawing>
      </w:r>
    </w:p>
    <w:p w:rsidR="0036253B" w:rsidRPr="0036253B" w:rsidRDefault="0036253B" w:rsidP="0036253B">
      <w:pPr>
        <w:jc w:val="both"/>
      </w:pPr>
      <w:r w:rsidRPr="0036253B">
        <w:rPr>
          <w:vertAlign w:val="superscript"/>
        </w:rPr>
        <w:t>45</w:t>
      </w:r>
      <w:r w:rsidRPr="0036253B">
        <w:t> </w:t>
      </w:r>
    </w:p>
    <w:p w:rsidR="0036253B" w:rsidRPr="0036253B" w:rsidRDefault="0036253B" w:rsidP="0036253B">
      <w:pPr>
        <w:jc w:val="both"/>
      </w:pPr>
      <w:r w:rsidRPr="0036253B">
        <w:t xml:space="preserve">Zu häufig sachentsprechenden Ergebnissen gelangt die sog. Gleichgültigkeitstheorie, nach der Eventualvorsatz vorliegt, wenn der Täter die Tatbestandsverwirklichung f. mögl. hält u. aus bewusster Gleichgültigkeit </w:t>
      </w:r>
      <w:proofErr w:type="spellStart"/>
      <w:r w:rsidRPr="0036253B">
        <w:t>ggü</w:t>
      </w:r>
      <w:proofErr w:type="spellEnd"/>
      <w:r w:rsidRPr="0036253B">
        <w:t xml:space="preserve">. dem geschützten Rechtsgut in Kauf nimmt: </w:t>
      </w:r>
      <w:r w:rsidRPr="0036253B">
        <w:rPr>
          <w:i/>
          <w:iCs/>
        </w:rPr>
        <w:t>Sternberg-Lieben</w:t>
      </w:r>
      <w:r w:rsidRPr="0036253B">
        <w:t xml:space="preserve">, in: </w:t>
      </w:r>
      <w:r w:rsidRPr="0036253B">
        <w:rPr>
          <w:i/>
          <w:iCs/>
        </w:rPr>
        <w:t>Schönke/Schröder</w:t>
      </w:r>
      <w:r w:rsidRPr="0036253B">
        <w:t xml:space="preserve"> (o. </w:t>
      </w:r>
      <w:proofErr w:type="spellStart"/>
      <w:r w:rsidRPr="0036253B">
        <w:t>Fußn</w:t>
      </w:r>
      <w:proofErr w:type="spellEnd"/>
      <w:r w:rsidRPr="0036253B">
        <w:t xml:space="preserve">. 4), § 15 </w:t>
      </w:r>
      <w:proofErr w:type="spellStart"/>
      <w:r w:rsidRPr="0036253B">
        <w:t>Rdnr</w:t>
      </w:r>
      <w:proofErr w:type="spellEnd"/>
      <w:r w:rsidRPr="0036253B">
        <w:t xml:space="preserve">. 84; s. auch </w:t>
      </w:r>
      <w:r w:rsidRPr="0036253B">
        <w:rPr>
          <w:i/>
          <w:iCs/>
        </w:rPr>
        <w:t>BGH</w:t>
      </w:r>
      <w:r w:rsidRPr="0036253B">
        <w:t>, NJW 1998, 3361 (3362); NStZ 2011, 210 (211); NStZ-RR 2000, 327 (328).</w:t>
      </w:r>
    </w:p>
    <w:p w:rsidR="0036253B" w:rsidRPr="0036253B" w:rsidRDefault="0036253B" w:rsidP="0036253B">
      <w:pPr>
        <w:jc w:val="both"/>
      </w:pPr>
      <w:r w:rsidRPr="0036253B">
        <w:rPr>
          <w:noProof/>
          <w:lang w:eastAsia="de-DE"/>
        </w:rPr>
        <w:drawing>
          <wp:inline distT="0" distB="0" distL="0" distR="0">
            <wp:extent cx="162560" cy="95250"/>
            <wp:effectExtent l="0" t="0" r="8890" b="0"/>
            <wp:docPr id="38" name="Grafik 38" descr="zurück zum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zurück zum Tex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2560" cy="95250"/>
                    </a:xfrm>
                    <a:prstGeom prst="rect">
                      <a:avLst/>
                    </a:prstGeom>
                    <a:noFill/>
                    <a:ln>
                      <a:noFill/>
                    </a:ln>
                  </pic:spPr>
                </pic:pic>
              </a:graphicData>
            </a:graphic>
          </wp:inline>
        </w:drawing>
      </w:r>
    </w:p>
    <w:p w:rsidR="0036253B" w:rsidRPr="0036253B" w:rsidRDefault="0036253B" w:rsidP="0036253B">
      <w:pPr>
        <w:jc w:val="both"/>
      </w:pPr>
      <w:r w:rsidRPr="0036253B">
        <w:rPr>
          <w:vertAlign w:val="superscript"/>
        </w:rPr>
        <w:t>46</w:t>
      </w:r>
      <w:r w:rsidRPr="0036253B">
        <w:t> </w:t>
      </w:r>
    </w:p>
    <w:p w:rsidR="0036253B" w:rsidRPr="0036253B" w:rsidRDefault="0036253B" w:rsidP="0036253B">
      <w:pPr>
        <w:jc w:val="both"/>
      </w:pPr>
      <w:r w:rsidRPr="0036253B">
        <w:t xml:space="preserve">Allerdings genügt die vage Hoffnung, die erkannte Gefahr würde sich wider Erwarten nicht verwirklichen, nicht: Was einem die Vernunft sagt, kann nicht durch Gottvertrauen verdrängt werden; so auch </w:t>
      </w:r>
      <w:proofErr w:type="spellStart"/>
      <w:r w:rsidRPr="0036253B">
        <w:rPr>
          <w:i/>
          <w:iCs/>
        </w:rPr>
        <w:t>Duttge</w:t>
      </w:r>
      <w:proofErr w:type="spellEnd"/>
      <w:r w:rsidRPr="0036253B">
        <w:t xml:space="preserve">, in: </w:t>
      </w:r>
      <w:proofErr w:type="spellStart"/>
      <w:r w:rsidRPr="0036253B">
        <w:rPr>
          <w:i/>
          <w:iCs/>
        </w:rPr>
        <w:t>Dölling</w:t>
      </w:r>
      <w:proofErr w:type="spellEnd"/>
      <w:r w:rsidRPr="0036253B">
        <w:rPr>
          <w:i/>
          <w:iCs/>
        </w:rPr>
        <w:t>/</w:t>
      </w:r>
      <w:proofErr w:type="spellStart"/>
      <w:r w:rsidRPr="0036253B">
        <w:rPr>
          <w:i/>
          <w:iCs/>
        </w:rPr>
        <w:t>Duttge</w:t>
      </w:r>
      <w:proofErr w:type="spellEnd"/>
      <w:r w:rsidRPr="0036253B">
        <w:rPr>
          <w:i/>
          <w:iCs/>
        </w:rPr>
        <w:t>/Rössner</w:t>
      </w:r>
      <w:r w:rsidRPr="0036253B">
        <w:t xml:space="preserve"> (o. </w:t>
      </w:r>
      <w:proofErr w:type="spellStart"/>
      <w:r w:rsidRPr="0036253B">
        <w:t>Fußn</w:t>
      </w:r>
      <w:proofErr w:type="spellEnd"/>
      <w:r w:rsidRPr="0036253B">
        <w:t xml:space="preserve">. 5), StGB § 15 </w:t>
      </w:r>
      <w:proofErr w:type="spellStart"/>
      <w:r w:rsidRPr="0036253B">
        <w:t>Rdnr</w:t>
      </w:r>
      <w:proofErr w:type="spellEnd"/>
      <w:r w:rsidRPr="0036253B">
        <w:t xml:space="preserve">. 24; </w:t>
      </w:r>
      <w:proofErr w:type="spellStart"/>
      <w:r w:rsidRPr="0036253B">
        <w:rPr>
          <w:i/>
          <w:iCs/>
        </w:rPr>
        <w:t>Rönnau</w:t>
      </w:r>
      <w:proofErr w:type="spellEnd"/>
      <w:r w:rsidRPr="0036253B">
        <w:t xml:space="preserve">, </w:t>
      </w:r>
      <w:proofErr w:type="spellStart"/>
      <w:r w:rsidRPr="0036253B">
        <w:t>JuS</w:t>
      </w:r>
      <w:proofErr w:type="spellEnd"/>
      <w:r w:rsidRPr="0036253B">
        <w:t xml:space="preserve"> 2010, 675 (677).</w:t>
      </w:r>
    </w:p>
    <w:p w:rsidR="0036253B" w:rsidRPr="0036253B" w:rsidRDefault="0036253B" w:rsidP="0036253B">
      <w:pPr>
        <w:jc w:val="both"/>
      </w:pPr>
      <w:r w:rsidRPr="0036253B">
        <w:rPr>
          <w:noProof/>
          <w:lang w:eastAsia="de-DE"/>
        </w:rPr>
        <w:drawing>
          <wp:inline distT="0" distB="0" distL="0" distR="0">
            <wp:extent cx="162560" cy="95250"/>
            <wp:effectExtent l="0" t="0" r="8890" b="0"/>
            <wp:docPr id="37" name="Grafik 37" descr="zurück zum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zurück zum Tex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2560" cy="95250"/>
                    </a:xfrm>
                    <a:prstGeom prst="rect">
                      <a:avLst/>
                    </a:prstGeom>
                    <a:noFill/>
                    <a:ln>
                      <a:noFill/>
                    </a:ln>
                  </pic:spPr>
                </pic:pic>
              </a:graphicData>
            </a:graphic>
          </wp:inline>
        </w:drawing>
      </w:r>
    </w:p>
    <w:p w:rsidR="0036253B" w:rsidRPr="0036253B" w:rsidRDefault="0036253B" w:rsidP="0036253B">
      <w:pPr>
        <w:jc w:val="both"/>
      </w:pPr>
      <w:r w:rsidRPr="0036253B">
        <w:rPr>
          <w:vertAlign w:val="superscript"/>
        </w:rPr>
        <w:t>47</w:t>
      </w:r>
      <w:r w:rsidRPr="0036253B">
        <w:t> </w:t>
      </w:r>
    </w:p>
    <w:p w:rsidR="0036253B" w:rsidRPr="0036253B" w:rsidRDefault="0036253B" w:rsidP="0036253B">
      <w:pPr>
        <w:jc w:val="both"/>
      </w:pPr>
      <w:r w:rsidRPr="0036253B">
        <w:rPr>
          <w:i/>
          <w:iCs/>
        </w:rPr>
        <w:t>Murmann</w:t>
      </w:r>
      <w:r w:rsidRPr="0036253B">
        <w:t xml:space="preserve"> (o. </w:t>
      </w:r>
      <w:proofErr w:type="spellStart"/>
      <w:r w:rsidRPr="0036253B">
        <w:t>Fußn</w:t>
      </w:r>
      <w:proofErr w:type="spellEnd"/>
      <w:r w:rsidRPr="0036253B">
        <w:t xml:space="preserve">. 12), § 24 </w:t>
      </w:r>
      <w:proofErr w:type="spellStart"/>
      <w:r w:rsidRPr="0036253B">
        <w:t>Rdnr</w:t>
      </w:r>
      <w:proofErr w:type="spellEnd"/>
      <w:r w:rsidRPr="0036253B">
        <w:t>. 25.</w:t>
      </w:r>
    </w:p>
    <w:p w:rsidR="0036253B" w:rsidRPr="0036253B" w:rsidRDefault="0036253B" w:rsidP="0036253B">
      <w:pPr>
        <w:jc w:val="both"/>
      </w:pPr>
      <w:r w:rsidRPr="0036253B">
        <w:rPr>
          <w:noProof/>
          <w:lang w:eastAsia="de-DE"/>
        </w:rPr>
        <w:drawing>
          <wp:inline distT="0" distB="0" distL="0" distR="0">
            <wp:extent cx="162560" cy="95250"/>
            <wp:effectExtent l="0" t="0" r="8890" b="0"/>
            <wp:docPr id="36" name="Grafik 36" descr="zurück zum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zurück zum Tex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2560" cy="95250"/>
                    </a:xfrm>
                    <a:prstGeom prst="rect">
                      <a:avLst/>
                    </a:prstGeom>
                    <a:noFill/>
                    <a:ln>
                      <a:noFill/>
                    </a:ln>
                  </pic:spPr>
                </pic:pic>
              </a:graphicData>
            </a:graphic>
          </wp:inline>
        </w:drawing>
      </w:r>
    </w:p>
    <w:p w:rsidR="0036253B" w:rsidRPr="0036253B" w:rsidRDefault="0036253B" w:rsidP="0036253B">
      <w:pPr>
        <w:jc w:val="both"/>
      </w:pPr>
      <w:r w:rsidRPr="0036253B">
        <w:rPr>
          <w:vertAlign w:val="superscript"/>
        </w:rPr>
        <w:t>48</w:t>
      </w:r>
      <w:r w:rsidRPr="0036253B">
        <w:t> </w:t>
      </w:r>
    </w:p>
    <w:p w:rsidR="0036253B" w:rsidRPr="0036253B" w:rsidRDefault="0036253B" w:rsidP="0036253B">
      <w:pPr>
        <w:jc w:val="both"/>
      </w:pPr>
      <w:proofErr w:type="spellStart"/>
      <w:r w:rsidRPr="0036253B">
        <w:rPr>
          <w:i/>
          <w:iCs/>
        </w:rPr>
        <w:t>Duttge</w:t>
      </w:r>
      <w:proofErr w:type="spellEnd"/>
      <w:r w:rsidRPr="0036253B">
        <w:t xml:space="preserve">, in: </w:t>
      </w:r>
      <w:proofErr w:type="spellStart"/>
      <w:r w:rsidRPr="0036253B">
        <w:rPr>
          <w:i/>
          <w:iCs/>
        </w:rPr>
        <w:t>Dölling</w:t>
      </w:r>
      <w:proofErr w:type="spellEnd"/>
      <w:r w:rsidRPr="0036253B">
        <w:rPr>
          <w:i/>
          <w:iCs/>
        </w:rPr>
        <w:t>/</w:t>
      </w:r>
      <w:proofErr w:type="spellStart"/>
      <w:r w:rsidRPr="0036253B">
        <w:rPr>
          <w:i/>
          <w:iCs/>
        </w:rPr>
        <w:t>Duttge</w:t>
      </w:r>
      <w:proofErr w:type="spellEnd"/>
      <w:r w:rsidRPr="0036253B">
        <w:rPr>
          <w:i/>
          <w:iCs/>
        </w:rPr>
        <w:t>/Rössner</w:t>
      </w:r>
      <w:r w:rsidRPr="0036253B">
        <w:t xml:space="preserve"> (o. </w:t>
      </w:r>
      <w:proofErr w:type="spellStart"/>
      <w:r w:rsidRPr="0036253B">
        <w:t>Fußn</w:t>
      </w:r>
      <w:proofErr w:type="spellEnd"/>
      <w:r w:rsidRPr="0036253B">
        <w:t xml:space="preserve">. 5), StGB § 15 </w:t>
      </w:r>
      <w:proofErr w:type="spellStart"/>
      <w:r w:rsidRPr="0036253B">
        <w:t>Rdnr</w:t>
      </w:r>
      <w:proofErr w:type="spellEnd"/>
      <w:r w:rsidRPr="0036253B">
        <w:t xml:space="preserve">. 23; </w:t>
      </w:r>
      <w:proofErr w:type="spellStart"/>
      <w:r w:rsidRPr="0036253B">
        <w:rPr>
          <w:i/>
          <w:iCs/>
        </w:rPr>
        <w:t>Kudlich</w:t>
      </w:r>
      <w:proofErr w:type="spellEnd"/>
      <w:r w:rsidRPr="0036253B">
        <w:t xml:space="preserve">, NJW 2011, 2856 (2857); </w:t>
      </w:r>
      <w:r w:rsidRPr="0036253B">
        <w:rPr>
          <w:i/>
          <w:iCs/>
        </w:rPr>
        <w:t>Roxin</w:t>
      </w:r>
      <w:r w:rsidRPr="0036253B">
        <w:t xml:space="preserve"> (o. </w:t>
      </w:r>
      <w:proofErr w:type="spellStart"/>
      <w:r w:rsidRPr="0036253B">
        <w:t>Fußn</w:t>
      </w:r>
      <w:proofErr w:type="spellEnd"/>
      <w:r w:rsidRPr="0036253B">
        <w:t xml:space="preserve">. 7), § 12 </w:t>
      </w:r>
      <w:proofErr w:type="spellStart"/>
      <w:r w:rsidRPr="0036253B">
        <w:t>Rdnr</w:t>
      </w:r>
      <w:proofErr w:type="spellEnd"/>
      <w:r w:rsidRPr="0036253B">
        <w:t>. 31.</w:t>
      </w:r>
    </w:p>
    <w:p w:rsidR="0036253B" w:rsidRPr="0036253B" w:rsidRDefault="0036253B" w:rsidP="0036253B">
      <w:pPr>
        <w:jc w:val="both"/>
      </w:pPr>
      <w:r w:rsidRPr="0036253B">
        <w:rPr>
          <w:noProof/>
          <w:lang w:eastAsia="de-DE"/>
        </w:rPr>
        <w:drawing>
          <wp:inline distT="0" distB="0" distL="0" distR="0">
            <wp:extent cx="162560" cy="95250"/>
            <wp:effectExtent l="0" t="0" r="8890" b="0"/>
            <wp:docPr id="35" name="Grafik 35" descr="zurück zum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zurück zum Tex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2560" cy="95250"/>
                    </a:xfrm>
                    <a:prstGeom prst="rect">
                      <a:avLst/>
                    </a:prstGeom>
                    <a:noFill/>
                    <a:ln>
                      <a:noFill/>
                    </a:ln>
                  </pic:spPr>
                </pic:pic>
              </a:graphicData>
            </a:graphic>
          </wp:inline>
        </w:drawing>
      </w:r>
    </w:p>
    <w:p w:rsidR="0036253B" w:rsidRPr="0036253B" w:rsidRDefault="0036253B" w:rsidP="0036253B">
      <w:pPr>
        <w:jc w:val="both"/>
      </w:pPr>
      <w:r w:rsidRPr="0036253B">
        <w:rPr>
          <w:vertAlign w:val="superscript"/>
        </w:rPr>
        <w:t>49</w:t>
      </w:r>
      <w:r w:rsidRPr="0036253B">
        <w:t> </w:t>
      </w:r>
    </w:p>
    <w:p w:rsidR="0036253B" w:rsidRPr="0036253B" w:rsidRDefault="0036253B" w:rsidP="0036253B">
      <w:pPr>
        <w:jc w:val="both"/>
      </w:pPr>
      <w:r w:rsidRPr="0036253B">
        <w:t xml:space="preserve">Zur hier ausgeblendeten Problematik d. Vorsatzes als Tatfrage </w:t>
      </w:r>
      <w:r w:rsidRPr="0036253B">
        <w:rPr>
          <w:i/>
          <w:iCs/>
        </w:rPr>
        <w:t>Rudolphi/Stein</w:t>
      </w:r>
      <w:r w:rsidRPr="0036253B">
        <w:t xml:space="preserve">, in: SK-StGB, 2010, § 16 </w:t>
      </w:r>
      <w:proofErr w:type="spellStart"/>
      <w:r w:rsidRPr="0036253B">
        <w:t>Rdnrn</w:t>
      </w:r>
      <w:proofErr w:type="spellEnd"/>
      <w:r w:rsidRPr="0036253B">
        <w:t xml:space="preserve">. 57 ff.; </w:t>
      </w:r>
      <w:r w:rsidRPr="0036253B">
        <w:rPr>
          <w:i/>
          <w:iCs/>
        </w:rPr>
        <w:t>Vogel</w:t>
      </w:r>
      <w:r w:rsidRPr="0036253B">
        <w:t xml:space="preserve">, in: LK-StGB (o. </w:t>
      </w:r>
      <w:proofErr w:type="spellStart"/>
      <w:r w:rsidRPr="0036253B">
        <w:t>Fußn</w:t>
      </w:r>
      <w:proofErr w:type="spellEnd"/>
      <w:r w:rsidRPr="0036253B">
        <w:t xml:space="preserve">. 1), § 15 </w:t>
      </w:r>
      <w:proofErr w:type="spellStart"/>
      <w:r w:rsidRPr="0036253B">
        <w:t>Rdnrn</w:t>
      </w:r>
      <w:proofErr w:type="spellEnd"/>
      <w:r w:rsidRPr="0036253B">
        <w:t>. 63 ff.</w:t>
      </w:r>
    </w:p>
    <w:p w:rsidR="0036253B" w:rsidRPr="0036253B" w:rsidRDefault="0036253B" w:rsidP="0036253B">
      <w:pPr>
        <w:jc w:val="both"/>
      </w:pPr>
      <w:r w:rsidRPr="0036253B">
        <w:rPr>
          <w:noProof/>
          <w:lang w:eastAsia="de-DE"/>
        </w:rPr>
        <w:drawing>
          <wp:inline distT="0" distB="0" distL="0" distR="0">
            <wp:extent cx="162560" cy="95250"/>
            <wp:effectExtent l="0" t="0" r="8890" b="0"/>
            <wp:docPr id="34" name="Grafik 34" descr="zurück zum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zurück zum Tex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2560" cy="95250"/>
                    </a:xfrm>
                    <a:prstGeom prst="rect">
                      <a:avLst/>
                    </a:prstGeom>
                    <a:noFill/>
                    <a:ln>
                      <a:noFill/>
                    </a:ln>
                  </pic:spPr>
                </pic:pic>
              </a:graphicData>
            </a:graphic>
          </wp:inline>
        </w:drawing>
      </w:r>
    </w:p>
    <w:p w:rsidR="0036253B" w:rsidRPr="0036253B" w:rsidRDefault="0036253B" w:rsidP="0036253B">
      <w:pPr>
        <w:jc w:val="both"/>
      </w:pPr>
      <w:r w:rsidRPr="0036253B">
        <w:rPr>
          <w:vertAlign w:val="superscript"/>
        </w:rPr>
        <w:t>50</w:t>
      </w:r>
      <w:r w:rsidRPr="0036253B">
        <w:t> </w:t>
      </w:r>
    </w:p>
    <w:p w:rsidR="0036253B" w:rsidRPr="0036253B" w:rsidRDefault="0036253B" w:rsidP="0036253B">
      <w:pPr>
        <w:jc w:val="both"/>
      </w:pPr>
      <w:r w:rsidRPr="0036253B">
        <w:rPr>
          <w:i/>
          <w:iCs/>
        </w:rPr>
        <w:t>Sternberg-Lieben</w:t>
      </w:r>
      <w:r w:rsidRPr="0036253B">
        <w:t xml:space="preserve">, in: </w:t>
      </w:r>
      <w:r w:rsidRPr="0036253B">
        <w:rPr>
          <w:i/>
          <w:iCs/>
        </w:rPr>
        <w:t>Schönke/Schröder</w:t>
      </w:r>
      <w:r w:rsidRPr="0036253B">
        <w:t xml:space="preserve"> (o. </w:t>
      </w:r>
      <w:proofErr w:type="spellStart"/>
      <w:r w:rsidRPr="0036253B">
        <w:t>Fußn</w:t>
      </w:r>
      <w:proofErr w:type="spellEnd"/>
      <w:r w:rsidRPr="0036253B">
        <w:t xml:space="preserve">. 4), § 15 </w:t>
      </w:r>
      <w:proofErr w:type="spellStart"/>
      <w:r w:rsidRPr="0036253B">
        <w:t>Rdnr</w:t>
      </w:r>
      <w:proofErr w:type="spellEnd"/>
      <w:r w:rsidRPr="0036253B">
        <w:t xml:space="preserve">. 87 b m. beispielhafter Anführung f. d. Vorsatzfeststellung einschlägiger Indikatoren, deren (ggf. gegenläufige) Gewichtung wohl stets der Praxis überlassen bleiben wird; s. auch </w:t>
      </w:r>
      <w:proofErr w:type="spellStart"/>
      <w:r w:rsidRPr="0036253B">
        <w:rPr>
          <w:i/>
          <w:iCs/>
        </w:rPr>
        <w:t>Kudlich</w:t>
      </w:r>
      <w:proofErr w:type="spellEnd"/>
      <w:r w:rsidRPr="0036253B">
        <w:t xml:space="preserve">, in: </w:t>
      </w:r>
      <w:proofErr w:type="spellStart"/>
      <w:r w:rsidRPr="0036253B">
        <w:t>BeckOK</w:t>
      </w:r>
      <w:proofErr w:type="spellEnd"/>
      <w:r w:rsidRPr="0036253B">
        <w:t xml:space="preserve">-StGB (o. </w:t>
      </w:r>
      <w:proofErr w:type="spellStart"/>
      <w:r w:rsidRPr="0036253B">
        <w:t>Fußn</w:t>
      </w:r>
      <w:proofErr w:type="spellEnd"/>
      <w:r w:rsidRPr="0036253B">
        <w:t xml:space="preserve">. 12), § 15 </w:t>
      </w:r>
      <w:proofErr w:type="spellStart"/>
      <w:r w:rsidRPr="0036253B">
        <w:t>Rdnr</w:t>
      </w:r>
      <w:proofErr w:type="spellEnd"/>
      <w:r w:rsidRPr="0036253B">
        <w:t>. 23.</w:t>
      </w:r>
    </w:p>
    <w:p w:rsidR="0036253B" w:rsidRPr="0036253B" w:rsidRDefault="0036253B" w:rsidP="0036253B">
      <w:pPr>
        <w:jc w:val="both"/>
      </w:pPr>
      <w:r w:rsidRPr="0036253B">
        <w:rPr>
          <w:noProof/>
          <w:lang w:eastAsia="de-DE"/>
        </w:rPr>
        <w:drawing>
          <wp:inline distT="0" distB="0" distL="0" distR="0">
            <wp:extent cx="162560" cy="95250"/>
            <wp:effectExtent l="0" t="0" r="8890" b="0"/>
            <wp:docPr id="33" name="Grafik 33" descr="zurück zum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zurück zum Tex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2560" cy="95250"/>
                    </a:xfrm>
                    <a:prstGeom prst="rect">
                      <a:avLst/>
                    </a:prstGeom>
                    <a:noFill/>
                    <a:ln>
                      <a:noFill/>
                    </a:ln>
                  </pic:spPr>
                </pic:pic>
              </a:graphicData>
            </a:graphic>
          </wp:inline>
        </w:drawing>
      </w:r>
    </w:p>
    <w:p w:rsidR="0036253B" w:rsidRPr="0036253B" w:rsidRDefault="0036253B" w:rsidP="0036253B">
      <w:pPr>
        <w:jc w:val="both"/>
      </w:pPr>
      <w:r w:rsidRPr="0036253B">
        <w:rPr>
          <w:vertAlign w:val="superscript"/>
        </w:rPr>
        <w:t>51</w:t>
      </w:r>
      <w:r w:rsidRPr="0036253B">
        <w:t> </w:t>
      </w:r>
    </w:p>
    <w:p w:rsidR="0036253B" w:rsidRPr="0036253B" w:rsidRDefault="0036253B" w:rsidP="0036253B">
      <w:pPr>
        <w:jc w:val="both"/>
      </w:pPr>
      <w:r w:rsidRPr="0036253B">
        <w:t xml:space="preserve">Z. B. BGHSt 36, 1 (19) = NJW 1989, 781 (783 f.); 56, 277 (284) = NJW 2011, 2895 (2896 f.); </w:t>
      </w:r>
      <w:r w:rsidRPr="0036253B">
        <w:rPr>
          <w:i/>
          <w:iCs/>
        </w:rPr>
        <w:t>BGH</w:t>
      </w:r>
      <w:r w:rsidRPr="0036253B">
        <w:t>, NStZ 2011, 210 (211).</w:t>
      </w:r>
    </w:p>
    <w:p w:rsidR="0036253B" w:rsidRPr="0036253B" w:rsidRDefault="0036253B" w:rsidP="0036253B">
      <w:pPr>
        <w:jc w:val="both"/>
      </w:pPr>
      <w:r w:rsidRPr="0036253B">
        <w:rPr>
          <w:noProof/>
          <w:lang w:eastAsia="de-DE"/>
        </w:rPr>
        <w:drawing>
          <wp:inline distT="0" distB="0" distL="0" distR="0">
            <wp:extent cx="162560" cy="95250"/>
            <wp:effectExtent l="0" t="0" r="8890" b="0"/>
            <wp:docPr id="32" name="Grafik 32" descr="zurück zum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zurück zum Tex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2560" cy="95250"/>
                    </a:xfrm>
                    <a:prstGeom prst="rect">
                      <a:avLst/>
                    </a:prstGeom>
                    <a:noFill/>
                    <a:ln>
                      <a:noFill/>
                    </a:ln>
                  </pic:spPr>
                </pic:pic>
              </a:graphicData>
            </a:graphic>
          </wp:inline>
        </w:drawing>
      </w:r>
    </w:p>
    <w:p w:rsidR="0036253B" w:rsidRPr="0036253B" w:rsidRDefault="0036253B" w:rsidP="0036253B">
      <w:pPr>
        <w:jc w:val="both"/>
      </w:pPr>
      <w:r w:rsidRPr="0036253B">
        <w:rPr>
          <w:vertAlign w:val="superscript"/>
        </w:rPr>
        <w:t>52</w:t>
      </w:r>
      <w:r w:rsidRPr="0036253B">
        <w:t> </w:t>
      </w:r>
    </w:p>
    <w:p w:rsidR="0036253B" w:rsidRPr="0036253B" w:rsidRDefault="0036253B" w:rsidP="0036253B">
      <w:pPr>
        <w:jc w:val="both"/>
      </w:pPr>
      <w:r w:rsidRPr="0036253B">
        <w:t xml:space="preserve">S. </w:t>
      </w:r>
      <w:r w:rsidRPr="0036253B">
        <w:rPr>
          <w:i/>
          <w:iCs/>
        </w:rPr>
        <w:t>BGH</w:t>
      </w:r>
      <w:r w:rsidRPr="0036253B">
        <w:t xml:space="preserve">, NStZ 2009, 91; NStZ 2011, 699 (702); </w:t>
      </w:r>
      <w:r w:rsidRPr="0036253B">
        <w:rPr>
          <w:i/>
          <w:iCs/>
        </w:rPr>
        <w:t>Sternberg-Lieben</w:t>
      </w:r>
      <w:r w:rsidRPr="0036253B">
        <w:t xml:space="preserve">, in: </w:t>
      </w:r>
      <w:r w:rsidRPr="0036253B">
        <w:rPr>
          <w:i/>
          <w:iCs/>
        </w:rPr>
        <w:t>Schönke/Schröder</w:t>
      </w:r>
      <w:r w:rsidRPr="0036253B">
        <w:t xml:space="preserve"> (o. </w:t>
      </w:r>
      <w:proofErr w:type="spellStart"/>
      <w:r w:rsidRPr="0036253B">
        <w:t>Fußn</w:t>
      </w:r>
      <w:proofErr w:type="spellEnd"/>
      <w:r w:rsidRPr="0036253B">
        <w:t xml:space="preserve">. 4), § 15 </w:t>
      </w:r>
      <w:proofErr w:type="spellStart"/>
      <w:r w:rsidRPr="0036253B">
        <w:t>Rdnr</w:t>
      </w:r>
      <w:proofErr w:type="spellEnd"/>
      <w:r w:rsidRPr="0036253B">
        <w:t xml:space="preserve">. 87. </w:t>
      </w:r>
    </w:p>
    <w:p w:rsidR="0036253B" w:rsidRPr="0036253B" w:rsidRDefault="0036253B" w:rsidP="0036253B">
      <w:pPr>
        <w:jc w:val="both"/>
      </w:pPr>
      <w:r w:rsidRPr="0036253B">
        <w:rPr>
          <w:noProof/>
          <w:lang w:eastAsia="de-DE"/>
        </w:rPr>
        <w:drawing>
          <wp:inline distT="0" distB="0" distL="0" distR="0">
            <wp:extent cx="162560" cy="95250"/>
            <wp:effectExtent l="0" t="0" r="8890" b="0"/>
            <wp:docPr id="31" name="Grafik 31" descr="zurück zum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zurück zum Tex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2560" cy="95250"/>
                    </a:xfrm>
                    <a:prstGeom prst="rect">
                      <a:avLst/>
                    </a:prstGeom>
                    <a:noFill/>
                    <a:ln>
                      <a:noFill/>
                    </a:ln>
                  </pic:spPr>
                </pic:pic>
              </a:graphicData>
            </a:graphic>
          </wp:inline>
        </w:drawing>
      </w:r>
    </w:p>
    <w:p w:rsidR="0036253B" w:rsidRPr="0036253B" w:rsidRDefault="0036253B" w:rsidP="0036253B">
      <w:pPr>
        <w:jc w:val="both"/>
      </w:pPr>
      <w:r w:rsidRPr="0036253B">
        <w:rPr>
          <w:vertAlign w:val="superscript"/>
        </w:rPr>
        <w:t>53</w:t>
      </w:r>
      <w:r w:rsidRPr="0036253B">
        <w:t> </w:t>
      </w:r>
    </w:p>
    <w:p w:rsidR="0036253B" w:rsidRPr="0036253B" w:rsidRDefault="0036253B" w:rsidP="0036253B">
      <w:pPr>
        <w:jc w:val="both"/>
      </w:pPr>
      <w:r w:rsidRPr="0036253B">
        <w:t xml:space="preserve">Hierzu </w:t>
      </w:r>
      <w:r w:rsidRPr="0036253B">
        <w:rPr>
          <w:i/>
          <w:iCs/>
        </w:rPr>
        <w:t>Rengier</w:t>
      </w:r>
      <w:r w:rsidRPr="0036253B">
        <w:t xml:space="preserve"> (o. </w:t>
      </w:r>
      <w:proofErr w:type="spellStart"/>
      <w:r w:rsidRPr="0036253B">
        <w:t>Fußn</w:t>
      </w:r>
      <w:proofErr w:type="spellEnd"/>
      <w:r w:rsidRPr="0036253B">
        <w:t xml:space="preserve">. 9), § 14 </w:t>
      </w:r>
      <w:proofErr w:type="spellStart"/>
      <w:r w:rsidRPr="0036253B">
        <w:t>Rdnrn</w:t>
      </w:r>
      <w:proofErr w:type="spellEnd"/>
      <w:r w:rsidRPr="0036253B">
        <w:t xml:space="preserve">. 32 ff.; </w:t>
      </w:r>
      <w:proofErr w:type="spellStart"/>
      <w:r w:rsidRPr="0036253B">
        <w:rPr>
          <w:i/>
          <w:iCs/>
        </w:rPr>
        <w:t>Rönnau</w:t>
      </w:r>
      <w:proofErr w:type="spellEnd"/>
      <w:r w:rsidRPr="0036253B">
        <w:t xml:space="preserve">, </w:t>
      </w:r>
      <w:proofErr w:type="spellStart"/>
      <w:r w:rsidRPr="0036253B">
        <w:t>JuS</w:t>
      </w:r>
      <w:proofErr w:type="spellEnd"/>
      <w:r w:rsidRPr="0036253B">
        <w:t xml:space="preserve"> 2010, 675 (677); </w:t>
      </w:r>
      <w:proofErr w:type="spellStart"/>
      <w:r w:rsidRPr="0036253B">
        <w:t>Klausurbsp</w:t>
      </w:r>
      <w:proofErr w:type="spellEnd"/>
      <w:r w:rsidRPr="0036253B">
        <w:t xml:space="preserve">. bei </w:t>
      </w:r>
      <w:r w:rsidRPr="0036253B">
        <w:rPr>
          <w:i/>
          <w:iCs/>
        </w:rPr>
        <w:t>Knauer</w:t>
      </w:r>
      <w:r w:rsidRPr="0036253B">
        <w:t xml:space="preserve">, JuS 2002, 53 (57). </w:t>
      </w:r>
    </w:p>
    <w:p w:rsidR="0036253B" w:rsidRPr="0036253B" w:rsidRDefault="0036253B" w:rsidP="0036253B">
      <w:pPr>
        <w:jc w:val="both"/>
      </w:pPr>
      <w:r w:rsidRPr="0036253B">
        <w:rPr>
          <w:noProof/>
          <w:lang w:eastAsia="de-DE"/>
        </w:rPr>
        <w:drawing>
          <wp:inline distT="0" distB="0" distL="0" distR="0">
            <wp:extent cx="162560" cy="95250"/>
            <wp:effectExtent l="0" t="0" r="8890" b="0"/>
            <wp:docPr id="30" name="Grafik 30" descr="zurück zum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zurück zum Tex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2560" cy="95250"/>
                    </a:xfrm>
                    <a:prstGeom prst="rect">
                      <a:avLst/>
                    </a:prstGeom>
                    <a:noFill/>
                    <a:ln>
                      <a:noFill/>
                    </a:ln>
                  </pic:spPr>
                </pic:pic>
              </a:graphicData>
            </a:graphic>
          </wp:inline>
        </w:drawing>
      </w:r>
    </w:p>
    <w:p w:rsidR="0036253B" w:rsidRPr="0036253B" w:rsidRDefault="0036253B" w:rsidP="0036253B">
      <w:pPr>
        <w:jc w:val="both"/>
      </w:pPr>
      <w:r w:rsidRPr="0036253B">
        <w:rPr>
          <w:vertAlign w:val="superscript"/>
        </w:rPr>
        <w:t>54</w:t>
      </w:r>
      <w:r w:rsidRPr="0036253B">
        <w:t> </w:t>
      </w:r>
    </w:p>
    <w:p w:rsidR="0036253B" w:rsidRPr="0036253B" w:rsidRDefault="0036253B" w:rsidP="0036253B">
      <w:pPr>
        <w:jc w:val="both"/>
      </w:pPr>
      <w:r w:rsidRPr="0036253B">
        <w:t xml:space="preserve">Nach </w:t>
      </w:r>
      <w:r w:rsidRPr="0036253B">
        <w:rPr>
          <w:i/>
          <w:iCs/>
        </w:rPr>
        <w:t>BGH</w:t>
      </w:r>
      <w:r w:rsidRPr="0036253B">
        <w:t>, NStZ 2008, 451.</w:t>
      </w:r>
    </w:p>
    <w:p w:rsidR="0036253B" w:rsidRPr="0036253B" w:rsidRDefault="0036253B" w:rsidP="0036253B">
      <w:pPr>
        <w:jc w:val="both"/>
      </w:pPr>
      <w:r w:rsidRPr="0036253B">
        <w:rPr>
          <w:noProof/>
          <w:lang w:eastAsia="de-DE"/>
        </w:rPr>
        <w:drawing>
          <wp:inline distT="0" distB="0" distL="0" distR="0">
            <wp:extent cx="162560" cy="95250"/>
            <wp:effectExtent l="0" t="0" r="8890" b="0"/>
            <wp:docPr id="29" name="Grafik 29" descr="zurück zum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zurück zum Tex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2560" cy="95250"/>
                    </a:xfrm>
                    <a:prstGeom prst="rect">
                      <a:avLst/>
                    </a:prstGeom>
                    <a:noFill/>
                    <a:ln>
                      <a:noFill/>
                    </a:ln>
                  </pic:spPr>
                </pic:pic>
              </a:graphicData>
            </a:graphic>
          </wp:inline>
        </w:drawing>
      </w:r>
    </w:p>
    <w:p w:rsidR="0036253B" w:rsidRPr="0036253B" w:rsidRDefault="0036253B" w:rsidP="0036253B">
      <w:pPr>
        <w:jc w:val="both"/>
      </w:pPr>
      <w:r w:rsidRPr="0036253B">
        <w:rPr>
          <w:vertAlign w:val="superscript"/>
        </w:rPr>
        <w:t>55</w:t>
      </w:r>
      <w:r w:rsidRPr="0036253B">
        <w:t> </w:t>
      </w:r>
    </w:p>
    <w:p w:rsidR="0036253B" w:rsidRPr="0036253B" w:rsidRDefault="0036253B" w:rsidP="0036253B">
      <w:pPr>
        <w:jc w:val="both"/>
      </w:pPr>
      <w:r w:rsidRPr="0036253B">
        <w:t>Andernfalls schiede auch Eventualvorsatz von vornherein aus.</w:t>
      </w:r>
    </w:p>
    <w:p w:rsidR="0036253B" w:rsidRPr="0036253B" w:rsidRDefault="0036253B" w:rsidP="0036253B">
      <w:pPr>
        <w:jc w:val="both"/>
      </w:pPr>
      <w:r w:rsidRPr="0036253B">
        <w:rPr>
          <w:noProof/>
          <w:lang w:eastAsia="de-DE"/>
        </w:rPr>
        <w:drawing>
          <wp:inline distT="0" distB="0" distL="0" distR="0">
            <wp:extent cx="162560" cy="95250"/>
            <wp:effectExtent l="0" t="0" r="8890" b="0"/>
            <wp:docPr id="28" name="Grafik 28" descr="zurück zum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zurück zum Tex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2560" cy="95250"/>
                    </a:xfrm>
                    <a:prstGeom prst="rect">
                      <a:avLst/>
                    </a:prstGeom>
                    <a:noFill/>
                    <a:ln>
                      <a:noFill/>
                    </a:ln>
                  </pic:spPr>
                </pic:pic>
              </a:graphicData>
            </a:graphic>
          </wp:inline>
        </w:drawing>
      </w:r>
    </w:p>
    <w:p w:rsidR="0036253B" w:rsidRPr="0036253B" w:rsidRDefault="0036253B" w:rsidP="0036253B">
      <w:pPr>
        <w:jc w:val="both"/>
      </w:pPr>
      <w:r w:rsidRPr="0036253B">
        <w:rPr>
          <w:vertAlign w:val="superscript"/>
        </w:rPr>
        <w:t>56</w:t>
      </w:r>
      <w:r w:rsidRPr="0036253B">
        <w:t> </w:t>
      </w:r>
    </w:p>
    <w:p w:rsidR="0036253B" w:rsidRPr="0036253B" w:rsidRDefault="0036253B" w:rsidP="0036253B">
      <w:pPr>
        <w:jc w:val="both"/>
      </w:pPr>
      <w:r w:rsidRPr="0036253B">
        <w:t xml:space="preserve">Und von Rechts wegen auch nicht vertrauen konnte, vgl. o. bei </w:t>
      </w:r>
      <w:proofErr w:type="spellStart"/>
      <w:r w:rsidRPr="0036253B">
        <w:t>Fußn</w:t>
      </w:r>
      <w:proofErr w:type="spellEnd"/>
      <w:r w:rsidRPr="0036253B">
        <w:t>. 48: Vorsatzfeststellung letztlich normativer Zuschreibungsakt.</w:t>
      </w:r>
    </w:p>
    <w:p w:rsidR="0036253B" w:rsidRPr="0036253B" w:rsidRDefault="0036253B" w:rsidP="0036253B">
      <w:pPr>
        <w:jc w:val="both"/>
      </w:pPr>
      <w:r w:rsidRPr="0036253B">
        <w:rPr>
          <w:noProof/>
          <w:lang w:eastAsia="de-DE"/>
        </w:rPr>
        <w:drawing>
          <wp:inline distT="0" distB="0" distL="0" distR="0">
            <wp:extent cx="162560" cy="95250"/>
            <wp:effectExtent l="0" t="0" r="8890" b="0"/>
            <wp:docPr id="27" name="Grafik 27" descr="zurück zum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zurück zum Tex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2560" cy="95250"/>
                    </a:xfrm>
                    <a:prstGeom prst="rect">
                      <a:avLst/>
                    </a:prstGeom>
                    <a:noFill/>
                    <a:ln>
                      <a:noFill/>
                    </a:ln>
                  </pic:spPr>
                </pic:pic>
              </a:graphicData>
            </a:graphic>
          </wp:inline>
        </w:drawing>
      </w:r>
    </w:p>
    <w:p w:rsidR="0036253B" w:rsidRPr="0036253B" w:rsidRDefault="0036253B" w:rsidP="0036253B">
      <w:pPr>
        <w:jc w:val="both"/>
      </w:pPr>
      <w:r w:rsidRPr="0036253B">
        <w:rPr>
          <w:vertAlign w:val="superscript"/>
        </w:rPr>
        <w:t>57</w:t>
      </w:r>
      <w:r w:rsidRPr="0036253B">
        <w:t> </w:t>
      </w:r>
    </w:p>
    <w:p w:rsidR="0036253B" w:rsidRPr="0036253B" w:rsidRDefault="0036253B" w:rsidP="0036253B">
      <w:pPr>
        <w:jc w:val="both"/>
      </w:pPr>
      <w:r w:rsidRPr="0036253B">
        <w:t xml:space="preserve">Regelmäßig genügt es, wenn der Bearbeiter seine Fall-Lösung auf Basis der sog. </w:t>
      </w:r>
      <w:proofErr w:type="spellStart"/>
      <w:r w:rsidRPr="0036253B">
        <w:t>Ernstnahmetheorie</w:t>
      </w:r>
      <w:proofErr w:type="spellEnd"/>
      <w:r w:rsidRPr="0036253B">
        <w:t xml:space="preserve"> trifft u. den Sachverhalt nach </w:t>
      </w:r>
      <w:proofErr w:type="spellStart"/>
      <w:r w:rsidRPr="0036253B">
        <w:t>entspr</w:t>
      </w:r>
      <w:proofErr w:type="spellEnd"/>
      <w:r w:rsidRPr="0036253B">
        <w:t>. „Indikatoren“ absucht; i. Ü. führen vorliegend alle Auffassungen m. Ausnahme der sog. Wahrscheinlichkeitstheorie zum selben Ergebnis.</w:t>
      </w:r>
    </w:p>
    <w:p w:rsidR="0036253B" w:rsidRPr="0036253B" w:rsidRDefault="0036253B" w:rsidP="0036253B">
      <w:pPr>
        <w:jc w:val="both"/>
      </w:pPr>
      <w:r w:rsidRPr="0036253B">
        <w:rPr>
          <w:noProof/>
          <w:lang w:eastAsia="de-DE"/>
        </w:rPr>
        <w:drawing>
          <wp:inline distT="0" distB="0" distL="0" distR="0">
            <wp:extent cx="162560" cy="95250"/>
            <wp:effectExtent l="0" t="0" r="8890" b="0"/>
            <wp:docPr id="26" name="Grafik 26" descr="zurück zum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zurück zum Tex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2560" cy="95250"/>
                    </a:xfrm>
                    <a:prstGeom prst="rect">
                      <a:avLst/>
                    </a:prstGeom>
                    <a:noFill/>
                    <a:ln>
                      <a:noFill/>
                    </a:ln>
                  </pic:spPr>
                </pic:pic>
              </a:graphicData>
            </a:graphic>
          </wp:inline>
        </w:drawing>
      </w:r>
    </w:p>
    <w:p w:rsidR="0036253B" w:rsidRPr="0036253B" w:rsidRDefault="0036253B" w:rsidP="0036253B">
      <w:pPr>
        <w:jc w:val="both"/>
      </w:pPr>
      <w:r w:rsidRPr="0036253B">
        <w:rPr>
          <w:vertAlign w:val="superscript"/>
        </w:rPr>
        <w:t>58</w:t>
      </w:r>
      <w:r w:rsidRPr="0036253B">
        <w:t> </w:t>
      </w:r>
    </w:p>
    <w:p w:rsidR="0036253B" w:rsidRPr="0036253B" w:rsidRDefault="0036253B" w:rsidP="0036253B">
      <w:pPr>
        <w:jc w:val="both"/>
      </w:pPr>
      <w:r w:rsidRPr="0036253B">
        <w:t xml:space="preserve">So ist dem Leser dieses Beitrags auch in dieser Sekunde sein Name ohne </w:t>
      </w:r>
      <w:proofErr w:type="spellStart"/>
      <w:r w:rsidRPr="0036253B">
        <w:t>entspr</w:t>
      </w:r>
      <w:proofErr w:type="spellEnd"/>
      <w:r w:rsidRPr="0036253B">
        <w:t xml:space="preserve">. Reflektion bewusst, während die Frage, wo er vorgestern Mittag gewesen sei, ein kurzes Nachdenken erfordern wird. </w:t>
      </w:r>
    </w:p>
    <w:p w:rsidR="0036253B" w:rsidRPr="0036253B" w:rsidRDefault="0036253B" w:rsidP="0036253B">
      <w:pPr>
        <w:jc w:val="both"/>
      </w:pPr>
      <w:r w:rsidRPr="0036253B">
        <w:rPr>
          <w:noProof/>
          <w:lang w:eastAsia="de-DE"/>
        </w:rPr>
        <w:drawing>
          <wp:inline distT="0" distB="0" distL="0" distR="0">
            <wp:extent cx="162560" cy="95250"/>
            <wp:effectExtent l="0" t="0" r="8890" b="0"/>
            <wp:docPr id="25" name="Grafik 25" descr="zurück zum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zurück zum Tex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2560" cy="95250"/>
                    </a:xfrm>
                    <a:prstGeom prst="rect">
                      <a:avLst/>
                    </a:prstGeom>
                    <a:noFill/>
                    <a:ln>
                      <a:noFill/>
                    </a:ln>
                  </pic:spPr>
                </pic:pic>
              </a:graphicData>
            </a:graphic>
          </wp:inline>
        </w:drawing>
      </w:r>
    </w:p>
    <w:p w:rsidR="0036253B" w:rsidRPr="0036253B" w:rsidRDefault="0036253B" w:rsidP="0036253B">
      <w:pPr>
        <w:jc w:val="both"/>
      </w:pPr>
      <w:r w:rsidRPr="0036253B">
        <w:rPr>
          <w:vertAlign w:val="superscript"/>
        </w:rPr>
        <w:t>59</w:t>
      </w:r>
      <w:r w:rsidRPr="0036253B">
        <w:t> </w:t>
      </w:r>
    </w:p>
    <w:p w:rsidR="0036253B" w:rsidRPr="0036253B" w:rsidRDefault="0036253B" w:rsidP="0036253B">
      <w:pPr>
        <w:jc w:val="both"/>
      </w:pPr>
      <w:proofErr w:type="spellStart"/>
      <w:r w:rsidRPr="0036253B">
        <w:rPr>
          <w:i/>
          <w:iCs/>
        </w:rPr>
        <w:t>Rudophi</w:t>
      </w:r>
      <w:proofErr w:type="spellEnd"/>
      <w:r w:rsidRPr="0036253B">
        <w:rPr>
          <w:i/>
          <w:iCs/>
        </w:rPr>
        <w:t>/Stein</w:t>
      </w:r>
      <w:r w:rsidRPr="0036253B">
        <w:t xml:space="preserve">, in: SK-StGB (o. </w:t>
      </w:r>
      <w:proofErr w:type="spellStart"/>
      <w:r w:rsidRPr="0036253B">
        <w:t>Fußn</w:t>
      </w:r>
      <w:proofErr w:type="spellEnd"/>
      <w:r w:rsidRPr="0036253B">
        <w:t xml:space="preserve">. 49), § 16 </w:t>
      </w:r>
      <w:proofErr w:type="spellStart"/>
      <w:r w:rsidRPr="0036253B">
        <w:t>Rdnr</w:t>
      </w:r>
      <w:proofErr w:type="spellEnd"/>
      <w:r w:rsidRPr="0036253B">
        <w:t xml:space="preserve">. 24; </w:t>
      </w:r>
      <w:proofErr w:type="spellStart"/>
      <w:r w:rsidRPr="0036253B">
        <w:t>entspr</w:t>
      </w:r>
      <w:proofErr w:type="spellEnd"/>
      <w:r w:rsidRPr="0036253B">
        <w:t xml:space="preserve">. </w:t>
      </w:r>
      <w:r w:rsidRPr="0036253B">
        <w:rPr>
          <w:i/>
          <w:iCs/>
        </w:rPr>
        <w:t>Sternberg-Lieben</w:t>
      </w:r>
      <w:r w:rsidRPr="0036253B">
        <w:t xml:space="preserve">, in: </w:t>
      </w:r>
      <w:r w:rsidRPr="0036253B">
        <w:rPr>
          <w:i/>
          <w:iCs/>
        </w:rPr>
        <w:t>Schönke/Schröder</w:t>
      </w:r>
      <w:r w:rsidRPr="0036253B">
        <w:t xml:space="preserve"> (o. </w:t>
      </w:r>
      <w:proofErr w:type="spellStart"/>
      <w:r w:rsidRPr="0036253B">
        <w:t>Fußn</w:t>
      </w:r>
      <w:proofErr w:type="spellEnd"/>
      <w:r w:rsidRPr="0036253B">
        <w:t xml:space="preserve">. 4), § 15 </w:t>
      </w:r>
      <w:proofErr w:type="spellStart"/>
      <w:r w:rsidRPr="0036253B">
        <w:t>Rdnr</w:t>
      </w:r>
      <w:proofErr w:type="spellEnd"/>
      <w:r w:rsidRPr="0036253B">
        <w:t>. 51.</w:t>
      </w:r>
    </w:p>
    <w:p w:rsidR="0036253B" w:rsidRPr="0036253B" w:rsidRDefault="0036253B" w:rsidP="0036253B">
      <w:pPr>
        <w:jc w:val="both"/>
      </w:pPr>
      <w:r w:rsidRPr="0036253B">
        <w:rPr>
          <w:noProof/>
          <w:lang w:eastAsia="de-DE"/>
        </w:rPr>
        <w:drawing>
          <wp:inline distT="0" distB="0" distL="0" distR="0">
            <wp:extent cx="162560" cy="95250"/>
            <wp:effectExtent l="0" t="0" r="8890" b="0"/>
            <wp:docPr id="24" name="Grafik 24" descr="zurück zum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zurück zum Tex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2560" cy="95250"/>
                    </a:xfrm>
                    <a:prstGeom prst="rect">
                      <a:avLst/>
                    </a:prstGeom>
                    <a:noFill/>
                    <a:ln>
                      <a:noFill/>
                    </a:ln>
                  </pic:spPr>
                </pic:pic>
              </a:graphicData>
            </a:graphic>
          </wp:inline>
        </w:drawing>
      </w:r>
    </w:p>
    <w:p w:rsidR="0036253B" w:rsidRPr="0036253B" w:rsidRDefault="0036253B" w:rsidP="0036253B">
      <w:pPr>
        <w:jc w:val="both"/>
      </w:pPr>
      <w:r w:rsidRPr="0036253B">
        <w:rPr>
          <w:vertAlign w:val="superscript"/>
        </w:rPr>
        <w:t>60</w:t>
      </w:r>
      <w:r w:rsidRPr="0036253B">
        <w:t> </w:t>
      </w:r>
    </w:p>
    <w:p w:rsidR="0036253B" w:rsidRPr="0036253B" w:rsidRDefault="0036253B" w:rsidP="0036253B">
      <w:pPr>
        <w:jc w:val="both"/>
      </w:pPr>
      <w:r w:rsidRPr="0036253B">
        <w:rPr>
          <w:i/>
          <w:iCs/>
        </w:rPr>
        <w:t>Murmann</w:t>
      </w:r>
      <w:r w:rsidRPr="0036253B">
        <w:t xml:space="preserve"> (o. </w:t>
      </w:r>
      <w:proofErr w:type="spellStart"/>
      <w:r w:rsidRPr="0036253B">
        <w:t>Fußn</w:t>
      </w:r>
      <w:proofErr w:type="spellEnd"/>
      <w:r w:rsidRPr="0036253B">
        <w:t xml:space="preserve">. 12), § 24 </w:t>
      </w:r>
      <w:proofErr w:type="spellStart"/>
      <w:r w:rsidRPr="0036253B">
        <w:t>Rdnr</w:t>
      </w:r>
      <w:proofErr w:type="spellEnd"/>
      <w:r w:rsidRPr="0036253B">
        <w:t>. 5.</w:t>
      </w:r>
    </w:p>
    <w:p w:rsidR="0036253B" w:rsidRPr="0036253B" w:rsidRDefault="0036253B" w:rsidP="0036253B">
      <w:pPr>
        <w:jc w:val="both"/>
      </w:pPr>
      <w:r w:rsidRPr="0036253B">
        <w:rPr>
          <w:noProof/>
          <w:lang w:eastAsia="de-DE"/>
        </w:rPr>
        <w:drawing>
          <wp:inline distT="0" distB="0" distL="0" distR="0">
            <wp:extent cx="162560" cy="95250"/>
            <wp:effectExtent l="0" t="0" r="8890" b="0"/>
            <wp:docPr id="23" name="Grafik 23" descr="zurück zum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zurück zum Tex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2560" cy="95250"/>
                    </a:xfrm>
                    <a:prstGeom prst="rect">
                      <a:avLst/>
                    </a:prstGeom>
                    <a:noFill/>
                    <a:ln>
                      <a:noFill/>
                    </a:ln>
                  </pic:spPr>
                </pic:pic>
              </a:graphicData>
            </a:graphic>
          </wp:inline>
        </w:drawing>
      </w:r>
    </w:p>
    <w:p w:rsidR="0036253B" w:rsidRPr="0036253B" w:rsidRDefault="0036253B" w:rsidP="0036253B">
      <w:pPr>
        <w:jc w:val="both"/>
      </w:pPr>
      <w:r w:rsidRPr="0036253B">
        <w:rPr>
          <w:vertAlign w:val="superscript"/>
        </w:rPr>
        <w:t>61</w:t>
      </w:r>
      <w:r w:rsidRPr="0036253B">
        <w:t> </w:t>
      </w:r>
    </w:p>
    <w:p w:rsidR="0036253B" w:rsidRPr="0036253B" w:rsidRDefault="0036253B" w:rsidP="0036253B">
      <w:pPr>
        <w:jc w:val="both"/>
      </w:pPr>
      <w:r w:rsidRPr="0036253B">
        <w:t xml:space="preserve">Vgl. </w:t>
      </w:r>
      <w:r w:rsidRPr="0036253B">
        <w:rPr>
          <w:i/>
          <w:iCs/>
        </w:rPr>
        <w:t>OLG Hamm</w:t>
      </w:r>
      <w:r w:rsidRPr="0036253B">
        <w:t>, NStZ 2007, 473.</w:t>
      </w:r>
    </w:p>
    <w:p w:rsidR="0036253B" w:rsidRPr="0036253B" w:rsidRDefault="0036253B" w:rsidP="0036253B">
      <w:pPr>
        <w:jc w:val="both"/>
      </w:pPr>
      <w:r w:rsidRPr="0036253B">
        <w:rPr>
          <w:noProof/>
          <w:lang w:eastAsia="de-DE"/>
        </w:rPr>
        <w:drawing>
          <wp:inline distT="0" distB="0" distL="0" distR="0">
            <wp:extent cx="162560" cy="95250"/>
            <wp:effectExtent l="0" t="0" r="8890" b="0"/>
            <wp:docPr id="22" name="Grafik 22" descr="zurück zum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zurück zum Tex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2560" cy="95250"/>
                    </a:xfrm>
                    <a:prstGeom prst="rect">
                      <a:avLst/>
                    </a:prstGeom>
                    <a:noFill/>
                    <a:ln>
                      <a:noFill/>
                    </a:ln>
                  </pic:spPr>
                </pic:pic>
              </a:graphicData>
            </a:graphic>
          </wp:inline>
        </w:drawing>
      </w:r>
    </w:p>
    <w:p w:rsidR="0036253B" w:rsidRPr="0036253B" w:rsidRDefault="0036253B" w:rsidP="0036253B">
      <w:pPr>
        <w:jc w:val="both"/>
      </w:pPr>
      <w:r w:rsidRPr="0036253B">
        <w:rPr>
          <w:vertAlign w:val="superscript"/>
        </w:rPr>
        <w:t>62</w:t>
      </w:r>
      <w:r w:rsidRPr="0036253B">
        <w:t> </w:t>
      </w:r>
    </w:p>
    <w:p w:rsidR="0036253B" w:rsidRPr="0036253B" w:rsidRDefault="0036253B" w:rsidP="0036253B">
      <w:pPr>
        <w:jc w:val="both"/>
      </w:pPr>
      <w:r w:rsidRPr="0036253B">
        <w:t xml:space="preserve">Zur Anwendbarkeit d. § 244 I Nr. 1 a auch auf Berufswaffenträger </w:t>
      </w:r>
      <w:r w:rsidRPr="0036253B">
        <w:rPr>
          <w:i/>
          <w:iCs/>
        </w:rPr>
        <w:t>Rengier</w:t>
      </w:r>
      <w:r w:rsidRPr="0036253B">
        <w:t xml:space="preserve"> (o. </w:t>
      </w:r>
      <w:proofErr w:type="spellStart"/>
      <w:r w:rsidRPr="0036253B">
        <w:t>Fußn</w:t>
      </w:r>
      <w:proofErr w:type="spellEnd"/>
      <w:r w:rsidRPr="0036253B">
        <w:t xml:space="preserve">. 18), § 4 </w:t>
      </w:r>
      <w:proofErr w:type="spellStart"/>
      <w:r w:rsidRPr="0036253B">
        <w:t>Rdnrn</w:t>
      </w:r>
      <w:proofErr w:type="spellEnd"/>
      <w:r w:rsidRPr="0036253B">
        <w:t>. 54 ff.</w:t>
      </w:r>
    </w:p>
    <w:p w:rsidR="0036253B" w:rsidRPr="0036253B" w:rsidRDefault="0036253B" w:rsidP="0036253B">
      <w:pPr>
        <w:jc w:val="both"/>
      </w:pPr>
      <w:r w:rsidRPr="0036253B">
        <w:rPr>
          <w:noProof/>
          <w:lang w:eastAsia="de-DE"/>
        </w:rPr>
        <w:drawing>
          <wp:inline distT="0" distB="0" distL="0" distR="0">
            <wp:extent cx="162560" cy="95250"/>
            <wp:effectExtent l="0" t="0" r="8890" b="0"/>
            <wp:docPr id="21" name="Grafik 21" descr="zurück zum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zurück zum Tex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2560" cy="95250"/>
                    </a:xfrm>
                    <a:prstGeom prst="rect">
                      <a:avLst/>
                    </a:prstGeom>
                    <a:noFill/>
                    <a:ln>
                      <a:noFill/>
                    </a:ln>
                  </pic:spPr>
                </pic:pic>
              </a:graphicData>
            </a:graphic>
          </wp:inline>
        </w:drawing>
      </w:r>
    </w:p>
    <w:p w:rsidR="0036253B" w:rsidRPr="0036253B" w:rsidRDefault="0036253B" w:rsidP="0036253B">
      <w:pPr>
        <w:jc w:val="both"/>
      </w:pPr>
      <w:r w:rsidRPr="0036253B">
        <w:rPr>
          <w:vertAlign w:val="superscript"/>
        </w:rPr>
        <w:t>63</w:t>
      </w:r>
      <w:r w:rsidRPr="0036253B">
        <w:t> </w:t>
      </w:r>
    </w:p>
    <w:p w:rsidR="0036253B" w:rsidRPr="0036253B" w:rsidRDefault="0036253B" w:rsidP="0036253B">
      <w:pPr>
        <w:jc w:val="both"/>
      </w:pPr>
      <w:r w:rsidRPr="0036253B">
        <w:t xml:space="preserve">S. auch </w:t>
      </w:r>
      <w:proofErr w:type="spellStart"/>
      <w:r w:rsidRPr="0036253B">
        <w:rPr>
          <w:i/>
          <w:iCs/>
        </w:rPr>
        <w:t>BayObLG</w:t>
      </w:r>
      <w:proofErr w:type="spellEnd"/>
      <w:r w:rsidRPr="0036253B">
        <w:t xml:space="preserve">, NJW 1999, 2535 (2536). Zur entscheidenden Bedeutung des Kontexts der konkreten Situation </w:t>
      </w:r>
      <w:r w:rsidRPr="0036253B">
        <w:rPr>
          <w:i/>
          <w:iCs/>
        </w:rPr>
        <w:t>Roxin</w:t>
      </w:r>
      <w:r w:rsidRPr="0036253B">
        <w:t xml:space="preserve"> (o. </w:t>
      </w:r>
      <w:proofErr w:type="spellStart"/>
      <w:r w:rsidRPr="0036253B">
        <w:t>Fußn</w:t>
      </w:r>
      <w:proofErr w:type="spellEnd"/>
      <w:r w:rsidRPr="0036253B">
        <w:t xml:space="preserve">. 7), § 12 </w:t>
      </w:r>
      <w:proofErr w:type="spellStart"/>
      <w:r w:rsidRPr="0036253B">
        <w:t>Rdnr</w:t>
      </w:r>
      <w:proofErr w:type="spellEnd"/>
      <w:r w:rsidRPr="0036253B">
        <w:t xml:space="preserve">. 128. </w:t>
      </w:r>
    </w:p>
    <w:p w:rsidR="0036253B" w:rsidRPr="0036253B" w:rsidRDefault="0036253B" w:rsidP="0036253B">
      <w:pPr>
        <w:jc w:val="both"/>
      </w:pPr>
      <w:r w:rsidRPr="0036253B">
        <w:rPr>
          <w:noProof/>
          <w:lang w:eastAsia="de-DE"/>
        </w:rPr>
        <w:drawing>
          <wp:inline distT="0" distB="0" distL="0" distR="0">
            <wp:extent cx="162560" cy="95250"/>
            <wp:effectExtent l="0" t="0" r="8890" b="0"/>
            <wp:docPr id="20" name="Grafik 20" descr="zurück zum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zurück zum Tex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2560" cy="95250"/>
                    </a:xfrm>
                    <a:prstGeom prst="rect">
                      <a:avLst/>
                    </a:prstGeom>
                    <a:noFill/>
                    <a:ln>
                      <a:noFill/>
                    </a:ln>
                  </pic:spPr>
                </pic:pic>
              </a:graphicData>
            </a:graphic>
          </wp:inline>
        </w:drawing>
      </w:r>
    </w:p>
    <w:p w:rsidR="0036253B" w:rsidRPr="0036253B" w:rsidRDefault="0036253B" w:rsidP="0036253B">
      <w:pPr>
        <w:jc w:val="both"/>
      </w:pPr>
      <w:r w:rsidRPr="0036253B">
        <w:rPr>
          <w:vertAlign w:val="superscript"/>
        </w:rPr>
        <w:t>64</w:t>
      </w:r>
      <w:r w:rsidRPr="0036253B">
        <w:t> </w:t>
      </w:r>
    </w:p>
    <w:p w:rsidR="0036253B" w:rsidRPr="0036253B" w:rsidRDefault="0036253B" w:rsidP="0036253B">
      <w:pPr>
        <w:jc w:val="both"/>
      </w:pPr>
      <w:r w:rsidRPr="0036253B">
        <w:t xml:space="preserve">Deshalb hob das </w:t>
      </w:r>
      <w:r w:rsidRPr="0036253B">
        <w:rPr>
          <w:i/>
          <w:iCs/>
        </w:rPr>
        <w:t>OLG Hamm</w:t>
      </w:r>
      <w:r w:rsidRPr="0036253B">
        <w:t xml:space="preserve">, NStZ 2007, 473 (474), eine </w:t>
      </w:r>
      <w:proofErr w:type="spellStart"/>
      <w:r w:rsidRPr="0036253B">
        <w:t>entspr</w:t>
      </w:r>
      <w:proofErr w:type="spellEnd"/>
      <w:r w:rsidRPr="0036253B">
        <w:t>. Verurteilung eines Polizisten auf, da dieses Bewusstsein im konkreten Fall (bekannte Vergesslichkeit des Polizisten, eheliche Auseinandersetzung, kurzfristiger Tatentschluss) nicht gleichsam auf der Hand lag.</w:t>
      </w:r>
    </w:p>
    <w:p w:rsidR="0036253B" w:rsidRPr="0036253B" w:rsidRDefault="0036253B" w:rsidP="0036253B">
      <w:pPr>
        <w:jc w:val="both"/>
      </w:pPr>
      <w:r w:rsidRPr="0036253B">
        <w:rPr>
          <w:noProof/>
          <w:lang w:eastAsia="de-DE"/>
        </w:rPr>
        <w:drawing>
          <wp:inline distT="0" distB="0" distL="0" distR="0">
            <wp:extent cx="162560" cy="95250"/>
            <wp:effectExtent l="0" t="0" r="8890" b="0"/>
            <wp:docPr id="19" name="Grafik 19" descr="zurück zum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zurück zum Tex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2560" cy="95250"/>
                    </a:xfrm>
                    <a:prstGeom prst="rect">
                      <a:avLst/>
                    </a:prstGeom>
                    <a:noFill/>
                    <a:ln>
                      <a:noFill/>
                    </a:ln>
                  </pic:spPr>
                </pic:pic>
              </a:graphicData>
            </a:graphic>
          </wp:inline>
        </w:drawing>
      </w:r>
    </w:p>
    <w:p w:rsidR="0036253B" w:rsidRPr="0036253B" w:rsidRDefault="0036253B" w:rsidP="0036253B">
      <w:pPr>
        <w:jc w:val="both"/>
      </w:pPr>
      <w:r w:rsidRPr="0036253B">
        <w:rPr>
          <w:vertAlign w:val="superscript"/>
        </w:rPr>
        <w:t>65</w:t>
      </w:r>
      <w:r w:rsidRPr="0036253B">
        <w:t> </w:t>
      </w:r>
    </w:p>
    <w:p w:rsidR="0036253B" w:rsidRPr="0036253B" w:rsidRDefault="0036253B" w:rsidP="0036253B">
      <w:pPr>
        <w:jc w:val="both"/>
      </w:pPr>
      <w:r w:rsidRPr="0036253B">
        <w:rPr>
          <w:i/>
          <w:iCs/>
        </w:rPr>
        <w:t>Roxin</w:t>
      </w:r>
      <w:r w:rsidRPr="0036253B">
        <w:t xml:space="preserve"> (o. </w:t>
      </w:r>
      <w:proofErr w:type="spellStart"/>
      <w:r w:rsidRPr="0036253B">
        <w:t>Fußn</w:t>
      </w:r>
      <w:proofErr w:type="spellEnd"/>
      <w:r w:rsidRPr="0036253B">
        <w:t xml:space="preserve">. 7), § 12 </w:t>
      </w:r>
      <w:proofErr w:type="spellStart"/>
      <w:r w:rsidRPr="0036253B">
        <w:t>Rdnr</w:t>
      </w:r>
      <w:proofErr w:type="spellEnd"/>
      <w:r w:rsidRPr="0036253B">
        <w:t>. 131.</w:t>
      </w:r>
    </w:p>
    <w:p w:rsidR="0036253B" w:rsidRPr="0036253B" w:rsidRDefault="0036253B" w:rsidP="0036253B">
      <w:pPr>
        <w:jc w:val="both"/>
      </w:pPr>
      <w:r w:rsidRPr="0036253B">
        <w:rPr>
          <w:noProof/>
          <w:lang w:eastAsia="de-DE"/>
        </w:rPr>
        <w:drawing>
          <wp:inline distT="0" distB="0" distL="0" distR="0">
            <wp:extent cx="162560" cy="95250"/>
            <wp:effectExtent l="0" t="0" r="8890" b="0"/>
            <wp:docPr id="18" name="Grafik 18" descr="zurück zum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zurück zum Tex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2560" cy="95250"/>
                    </a:xfrm>
                    <a:prstGeom prst="rect">
                      <a:avLst/>
                    </a:prstGeom>
                    <a:noFill/>
                    <a:ln>
                      <a:noFill/>
                    </a:ln>
                  </pic:spPr>
                </pic:pic>
              </a:graphicData>
            </a:graphic>
          </wp:inline>
        </w:drawing>
      </w:r>
    </w:p>
    <w:p w:rsidR="0036253B" w:rsidRPr="0036253B" w:rsidRDefault="0036253B" w:rsidP="0036253B">
      <w:pPr>
        <w:jc w:val="both"/>
      </w:pPr>
      <w:r w:rsidRPr="0036253B">
        <w:rPr>
          <w:vertAlign w:val="superscript"/>
        </w:rPr>
        <w:t>66</w:t>
      </w:r>
      <w:r w:rsidRPr="0036253B">
        <w:t> </w:t>
      </w:r>
    </w:p>
    <w:p w:rsidR="0036253B" w:rsidRPr="0036253B" w:rsidRDefault="0036253B" w:rsidP="0036253B">
      <w:pPr>
        <w:jc w:val="both"/>
      </w:pPr>
      <w:r w:rsidRPr="0036253B">
        <w:rPr>
          <w:i/>
          <w:iCs/>
        </w:rPr>
        <w:t>Roxin</w:t>
      </w:r>
      <w:r w:rsidRPr="0036253B">
        <w:t xml:space="preserve"> (o. </w:t>
      </w:r>
      <w:proofErr w:type="spellStart"/>
      <w:r w:rsidRPr="0036253B">
        <w:t>Fußn</w:t>
      </w:r>
      <w:proofErr w:type="spellEnd"/>
      <w:r w:rsidRPr="0036253B">
        <w:t xml:space="preserve">. 7), § 12 </w:t>
      </w:r>
      <w:proofErr w:type="spellStart"/>
      <w:r w:rsidRPr="0036253B">
        <w:t>Rdnrn</w:t>
      </w:r>
      <w:proofErr w:type="spellEnd"/>
      <w:r w:rsidRPr="0036253B">
        <w:t>. 129 f.: zumeist eher Frage der Schuldfähigkeit.</w:t>
      </w:r>
    </w:p>
    <w:p w:rsidR="0036253B" w:rsidRPr="0036253B" w:rsidRDefault="0036253B" w:rsidP="0036253B">
      <w:pPr>
        <w:jc w:val="both"/>
      </w:pPr>
      <w:r w:rsidRPr="0036253B">
        <w:rPr>
          <w:noProof/>
          <w:lang w:eastAsia="de-DE"/>
        </w:rPr>
        <w:drawing>
          <wp:inline distT="0" distB="0" distL="0" distR="0">
            <wp:extent cx="162560" cy="95250"/>
            <wp:effectExtent l="0" t="0" r="8890" b="0"/>
            <wp:docPr id="17" name="Grafik 17" descr="zurück zum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zurück zum Tex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2560" cy="95250"/>
                    </a:xfrm>
                    <a:prstGeom prst="rect">
                      <a:avLst/>
                    </a:prstGeom>
                    <a:noFill/>
                    <a:ln>
                      <a:noFill/>
                    </a:ln>
                  </pic:spPr>
                </pic:pic>
              </a:graphicData>
            </a:graphic>
          </wp:inline>
        </w:drawing>
      </w:r>
    </w:p>
    <w:p w:rsidR="0036253B" w:rsidRPr="0036253B" w:rsidRDefault="0036253B" w:rsidP="0036253B">
      <w:pPr>
        <w:jc w:val="both"/>
      </w:pPr>
      <w:r w:rsidRPr="0036253B">
        <w:rPr>
          <w:vertAlign w:val="superscript"/>
        </w:rPr>
        <w:t>67</w:t>
      </w:r>
      <w:r w:rsidRPr="0036253B">
        <w:t> </w:t>
      </w:r>
    </w:p>
    <w:p w:rsidR="0036253B" w:rsidRPr="0036253B" w:rsidRDefault="0036253B" w:rsidP="0036253B">
      <w:pPr>
        <w:jc w:val="both"/>
      </w:pPr>
      <w:r w:rsidRPr="0036253B">
        <w:rPr>
          <w:i/>
          <w:iCs/>
        </w:rPr>
        <w:t>BGH</w:t>
      </w:r>
      <w:r w:rsidRPr="0036253B">
        <w:t>, NStZ-RR 2010, 214; NStZ 2011, 338 (339).</w:t>
      </w:r>
    </w:p>
    <w:p w:rsidR="0036253B" w:rsidRPr="0036253B" w:rsidRDefault="0036253B" w:rsidP="0036253B">
      <w:pPr>
        <w:jc w:val="both"/>
      </w:pPr>
      <w:r w:rsidRPr="0036253B">
        <w:rPr>
          <w:noProof/>
          <w:lang w:eastAsia="de-DE"/>
        </w:rPr>
        <w:drawing>
          <wp:inline distT="0" distB="0" distL="0" distR="0">
            <wp:extent cx="162560" cy="95250"/>
            <wp:effectExtent l="0" t="0" r="8890" b="0"/>
            <wp:docPr id="16" name="Grafik 16" descr="zurück zum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zurück zum Tex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2560" cy="95250"/>
                    </a:xfrm>
                    <a:prstGeom prst="rect">
                      <a:avLst/>
                    </a:prstGeom>
                    <a:noFill/>
                    <a:ln>
                      <a:noFill/>
                    </a:ln>
                  </pic:spPr>
                </pic:pic>
              </a:graphicData>
            </a:graphic>
          </wp:inline>
        </w:drawing>
      </w:r>
    </w:p>
    <w:p w:rsidR="0036253B" w:rsidRPr="0036253B" w:rsidRDefault="0036253B" w:rsidP="0036253B">
      <w:pPr>
        <w:jc w:val="both"/>
      </w:pPr>
      <w:r w:rsidRPr="0036253B">
        <w:rPr>
          <w:vertAlign w:val="superscript"/>
        </w:rPr>
        <w:t>68</w:t>
      </w:r>
      <w:r w:rsidRPr="0036253B">
        <w:t> </w:t>
      </w:r>
    </w:p>
    <w:p w:rsidR="0036253B" w:rsidRPr="0036253B" w:rsidRDefault="0036253B" w:rsidP="0036253B">
      <w:pPr>
        <w:jc w:val="both"/>
      </w:pPr>
      <w:r w:rsidRPr="0036253B">
        <w:rPr>
          <w:i/>
          <w:iCs/>
        </w:rPr>
        <w:t>Vogel</w:t>
      </w:r>
      <w:r w:rsidRPr="0036253B">
        <w:t xml:space="preserve">, in: LK-StGB (o. </w:t>
      </w:r>
      <w:proofErr w:type="spellStart"/>
      <w:r w:rsidRPr="0036253B">
        <w:t>Fußn</w:t>
      </w:r>
      <w:proofErr w:type="spellEnd"/>
      <w:r w:rsidRPr="0036253B">
        <w:t xml:space="preserve">. 1), § 15 </w:t>
      </w:r>
      <w:proofErr w:type="spellStart"/>
      <w:r w:rsidRPr="0036253B">
        <w:t>Rdnr</w:t>
      </w:r>
      <w:proofErr w:type="spellEnd"/>
      <w:r w:rsidRPr="0036253B">
        <w:t>. 53.</w:t>
      </w:r>
    </w:p>
    <w:p w:rsidR="0036253B" w:rsidRPr="0036253B" w:rsidRDefault="0036253B" w:rsidP="0036253B">
      <w:pPr>
        <w:jc w:val="both"/>
      </w:pPr>
      <w:r w:rsidRPr="0036253B">
        <w:rPr>
          <w:noProof/>
          <w:lang w:eastAsia="de-DE"/>
        </w:rPr>
        <w:drawing>
          <wp:inline distT="0" distB="0" distL="0" distR="0">
            <wp:extent cx="162560" cy="95250"/>
            <wp:effectExtent l="0" t="0" r="8890" b="0"/>
            <wp:docPr id="15" name="Grafik 15" descr="zurück zum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zurück zum Tex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2560" cy="95250"/>
                    </a:xfrm>
                    <a:prstGeom prst="rect">
                      <a:avLst/>
                    </a:prstGeom>
                    <a:noFill/>
                    <a:ln>
                      <a:noFill/>
                    </a:ln>
                  </pic:spPr>
                </pic:pic>
              </a:graphicData>
            </a:graphic>
          </wp:inline>
        </w:drawing>
      </w:r>
    </w:p>
    <w:p w:rsidR="0036253B" w:rsidRPr="0036253B" w:rsidRDefault="0036253B" w:rsidP="0036253B">
      <w:pPr>
        <w:jc w:val="both"/>
      </w:pPr>
      <w:r w:rsidRPr="0036253B">
        <w:rPr>
          <w:vertAlign w:val="superscript"/>
        </w:rPr>
        <w:t>69</w:t>
      </w:r>
      <w:r w:rsidRPr="0036253B">
        <w:t> </w:t>
      </w:r>
    </w:p>
    <w:p w:rsidR="0036253B" w:rsidRPr="0036253B" w:rsidRDefault="0036253B" w:rsidP="0036253B">
      <w:pPr>
        <w:jc w:val="both"/>
      </w:pPr>
      <w:r w:rsidRPr="0036253B">
        <w:t xml:space="preserve">Allg. Auffassung, vgl. nur </w:t>
      </w:r>
      <w:r w:rsidRPr="0036253B">
        <w:rPr>
          <w:i/>
          <w:iCs/>
        </w:rPr>
        <w:t>BGH</w:t>
      </w:r>
      <w:r w:rsidRPr="0036253B">
        <w:t>, NStZ 2010, 503 = JuS 2010, 1114 (</w:t>
      </w:r>
      <w:r w:rsidRPr="0036253B">
        <w:rPr>
          <w:i/>
          <w:iCs/>
        </w:rPr>
        <w:t>Hecker</w:t>
      </w:r>
      <w:r w:rsidRPr="0036253B">
        <w:t xml:space="preserve">); </w:t>
      </w:r>
      <w:r w:rsidRPr="0036253B">
        <w:rPr>
          <w:i/>
          <w:iCs/>
        </w:rPr>
        <w:t>Rengier</w:t>
      </w:r>
      <w:r w:rsidRPr="0036253B">
        <w:t xml:space="preserve"> (o. </w:t>
      </w:r>
      <w:proofErr w:type="spellStart"/>
      <w:r w:rsidRPr="0036253B">
        <w:t>Fußn</w:t>
      </w:r>
      <w:proofErr w:type="spellEnd"/>
      <w:r w:rsidRPr="0036253B">
        <w:t xml:space="preserve">. 9), § 14 </w:t>
      </w:r>
      <w:proofErr w:type="spellStart"/>
      <w:r w:rsidRPr="0036253B">
        <w:t>Rdnr</w:t>
      </w:r>
      <w:proofErr w:type="spellEnd"/>
      <w:r w:rsidRPr="0036253B">
        <w:t>. 56.</w:t>
      </w:r>
    </w:p>
    <w:p w:rsidR="0036253B" w:rsidRPr="0036253B" w:rsidRDefault="0036253B" w:rsidP="0036253B">
      <w:pPr>
        <w:jc w:val="both"/>
      </w:pPr>
      <w:r w:rsidRPr="0036253B">
        <w:rPr>
          <w:noProof/>
          <w:lang w:eastAsia="de-DE"/>
        </w:rPr>
        <w:drawing>
          <wp:inline distT="0" distB="0" distL="0" distR="0">
            <wp:extent cx="162560" cy="95250"/>
            <wp:effectExtent l="0" t="0" r="8890" b="0"/>
            <wp:docPr id="14" name="Grafik 14" descr="zurück zum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zurück zum Tex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2560" cy="95250"/>
                    </a:xfrm>
                    <a:prstGeom prst="rect">
                      <a:avLst/>
                    </a:prstGeom>
                    <a:noFill/>
                    <a:ln>
                      <a:noFill/>
                    </a:ln>
                  </pic:spPr>
                </pic:pic>
              </a:graphicData>
            </a:graphic>
          </wp:inline>
        </w:drawing>
      </w:r>
    </w:p>
    <w:p w:rsidR="0036253B" w:rsidRPr="0036253B" w:rsidRDefault="0036253B" w:rsidP="0036253B">
      <w:pPr>
        <w:jc w:val="both"/>
      </w:pPr>
      <w:r w:rsidRPr="0036253B">
        <w:rPr>
          <w:vertAlign w:val="superscript"/>
        </w:rPr>
        <w:t>70</w:t>
      </w:r>
      <w:r w:rsidRPr="0036253B">
        <w:t> </w:t>
      </w:r>
    </w:p>
    <w:p w:rsidR="0036253B" w:rsidRPr="0036253B" w:rsidRDefault="0036253B" w:rsidP="0036253B">
      <w:pPr>
        <w:jc w:val="both"/>
      </w:pPr>
      <w:r w:rsidRPr="0036253B">
        <w:t xml:space="preserve">Nachgebildet der Konstellation v. </w:t>
      </w:r>
      <w:r w:rsidRPr="0036253B">
        <w:rPr>
          <w:i/>
          <w:iCs/>
        </w:rPr>
        <w:t>BGH</w:t>
      </w:r>
      <w:r w:rsidRPr="0036253B">
        <w:t xml:space="preserve">, NJW 2002, 1057, m. Anm. </w:t>
      </w:r>
      <w:r w:rsidRPr="0036253B">
        <w:rPr>
          <w:i/>
          <w:iCs/>
        </w:rPr>
        <w:t>Gaede</w:t>
      </w:r>
      <w:r w:rsidRPr="0036253B">
        <w:t xml:space="preserve">, JuS 2002, 1058; s. a. </w:t>
      </w:r>
      <w:proofErr w:type="spellStart"/>
      <w:r w:rsidRPr="0036253B">
        <w:rPr>
          <w:i/>
          <w:iCs/>
        </w:rPr>
        <w:t>Sowada</w:t>
      </w:r>
      <w:proofErr w:type="spellEnd"/>
      <w:r w:rsidRPr="0036253B">
        <w:t>, Jura 2004, 814 ff.</w:t>
      </w:r>
    </w:p>
    <w:p w:rsidR="0036253B" w:rsidRPr="0036253B" w:rsidRDefault="0036253B" w:rsidP="0036253B">
      <w:pPr>
        <w:jc w:val="both"/>
      </w:pPr>
      <w:r w:rsidRPr="0036253B">
        <w:rPr>
          <w:noProof/>
          <w:lang w:eastAsia="de-DE"/>
        </w:rPr>
        <w:drawing>
          <wp:inline distT="0" distB="0" distL="0" distR="0">
            <wp:extent cx="162560" cy="95250"/>
            <wp:effectExtent l="0" t="0" r="8890" b="0"/>
            <wp:docPr id="13" name="Grafik 13" descr="zurück zum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zurück zum Tex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2560" cy="95250"/>
                    </a:xfrm>
                    <a:prstGeom prst="rect">
                      <a:avLst/>
                    </a:prstGeom>
                    <a:noFill/>
                    <a:ln>
                      <a:noFill/>
                    </a:ln>
                  </pic:spPr>
                </pic:pic>
              </a:graphicData>
            </a:graphic>
          </wp:inline>
        </w:drawing>
      </w:r>
    </w:p>
    <w:p w:rsidR="0036253B" w:rsidRPr="0036253B" w:rsidRDefault="0036253B" w:rsidP="0036253B">
      <w:pPr>
        <w:jc w:val="both"/>
      </w:pPr>
      <w:r w:rsidRPr="0036253B">
        <w:rPr>
          <w:vertAlign w:val="superscript"/>
        </w:rPr>
        <w:t>71</w:t>
      </w:r>
      <w:r w:rsidRPr="0036253B">
        <w:t> </w:t>
      </w:r>
    </w:p>
    <w:p w:rsidR="0036253B" w:rsidRPr="0036253B" w:rsidRDefault="0036253B" w:rsidP="0036253B">
      <w:pPr>
        <w:jc w:val="both"/>
      </w:pPr>
      <w:r w:rsidRPr="0036253B">
        <w:t xml:space="preserve">S. </w:t>
      </w:r>
      <w:r w:rsidRPr="0036253B">
        <w:rPr>
          <w:i/>
          <w:iCs/>
        </w:rPr>
        <w:t>Rengier</w:t>
      </w:r>
      <w:r w:rsidRPr="0036253B">
        <w:t xml:space="preserve"> (o. </w:t>
      </w:r>
      <w:proofErr w:type="spellStart"/>
      <w:r w:rsidRPr="0036253B">
        <w:t>Fußn</w:t>
      </w:r>
      <w:proofErr w:type="spellEnd"/>
      <w:r w:rsidRPr="0036253B">
        <w:t xml:space="preserve">. 9), § 14 </w:t>
      </w:r>
      <w:proofErr w:type="spellStart"/>
      <w:r w:rsidRPr="0036253B">
        <w:t>Rdnr</w:t>
      </w:r>
      <w:proofErr w:type="spellEnd"/>
      <w:r w:rsidRPr="0036253B">
        <w:t>. 58: §§ 227, 239 IV.</w:t>
      </w:r>
    </w:p>
    <w:p w:rsidR="0036253B" w:rsidRPr="0036253B" w:rsidRDefault="0036253B" w:rsidP="0036253B">
      <w:pPr>
        <w:jc w:val="both"/>
      </w:pPr>
      <w:r w:rsidRPr="0036253B">
        <w:rPr>
          <w:noProof/>
          <w:lang w:eastAsia="de-DE"/>
        </w:rPr>
        <w:drawing>
          <wp:inline distT="0" distB="0" distL="0" distR="0">
            <wp:extent cx="162560" cy="95250"/>
            <wp:effectExtent l="0" t="0" r="8890" b="0"/>
            <wp:docPr id="12" name="Grafik 12" descr="zurück zum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zurück zum Tex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2560" cy="95250"/>
                    </a:xfrm>
                    <a:prstGeom prst="rect">
                      <a:avLst/>
                    </a:prstGeom>
                    <a:noFill/>
                    <a:ln>
                      <a:noFill/>
                    </a:ln>
                  </pic:spPr>
                </pic:pic>
              </a:graphicData>
            </a:graphic>
          </wp:inline>
        </w:drawing>
      </w:r>
    </w:p>
    <w:p w:rsidR="0036253B" w:rsidRPr="0036253B" w:rsidRDefault="0036253B" w:rsidP="0036253B">
      <w:pPr>
        <w:jc w:val="both"/>
      </w:pPr>
      <w:r w:rsidRPr="0036253B">
        <w:rPr>
          <w:vertAlign w:val="superscript"/>
        </w:rPr>
        <w:t>72</w:t>
      </w:r>
      <w:r w:rsidRPr="0036253B">
        <w:t> </w:t>
      </w:r>
    </w:p>
    <w:p w:rsidR="0036253B" w:rsidRPr="0036253B" w:rsidRDefault="0036253B" w:rsidP="0036253B">
      <w:pPr>
        <w:jc w:val="both"/>
      </w:pPr>
      <w:r w:rsidRPr="0036253B">
        <w:rPr>
          <w:i/>
          <w:iCs/>
        </w:rPr>
        <w:t>BGH</w:t>
      </w:r>
      <w:r w:rsidRPr="0036253B">
        <w:t xml:space="preserve">, NJW 2002, 1057 (1058); </w:t>
      </w:r>
      <w:r w:rsidRPr="0036253B">
        <w:rPr>
          <w:i/>
          <w:iCs/>
        </w:rPr>
        <w:t>Kühl</w:t>
      </w:r>
      <w:r w:rsidRPr="0036253B">
        <w:t xml:space="preserve"> (o. </w:t>
      </w:r>
      <w:proofErr w:type="spellStart"/>
      <w:r w:rsidRPr="0036253B">
        <w:t>Fußn</w:t>
      </w:r>
      <w:proofErr w:type="spellEnd"/>
      <w:r w:rsidRPr="0036253B">
        <w:t xml:space="preserve">. 1), § 5 </w:t>
      </w:r>
      <w:proofErr w:type="spellStart"/>
      <w:r w:rsidRPr="0036253B">
        <w:t>Rdnr</w:t>
      </w:r>
      <w:proofErr w:type="spellEnd"/>
      <w:r w:rsidRPr="0036253B">
        <w:t xml:space="preserve">. 22; </w:t>
      </w:r>
      <w:r w:rsidRPr="0036253B">
        <w:rPr>
          <w:i/>
          <w:iCs/>
        </w:rPr>
        <w:t>Roxin</w:t>
      </w:r>
      <w:r w:rsidRPr="0036253B">
        <w:t xml:space="preserve"> (o. </w:t>
      </w:r>
      <w:proofErr w:type="spellStart"/>
      <w:r w:rsidRPr="0036253B">
        <w:t>Fußn</w:t>
      </w:r>
      <w:proofErr w:type="spellEnd"/>
      <w:r w:rsidRPr="0036253B">
        <w:t xml:space="preserve">. 7), § 12 </w:t>
      </w:r>
      <w:proofErr w:type="spellStart"/>
      <w:r w:rsidRPr="0036253B">
        <w:t>Rdnr</w:t>
      </w:r>
      <w:proofErr w:type="spellEnd"/>
      <w:r w:rsidRPr="0036253B">
        <w:t xml:space="preserve">. 89; </w:t>
      </w:r>
      <w:r w:rsidRPr="0036253B">
        <w:rPr>
          <w:i/>
          <w:iCs/>
        </w:rPr>
        <w:t>ders</w:t>
      </w:r>
      <w:r w:rsidRPr="0036253B">
        <w:t>., GA 2003, 257 (260).</w:t>
      </w:r>
    </w:p>
    <w:p w:rsidR="0036253B" w:rsidRPr="0036253B" w:rsidRDefault="0036253B" w:rsidP="0036253B">
      <w:pPr>
        <w:jc w:val="both"/>
      </w:pPr>
      <w:r w:rsidRPr="0036253B">
        <w:rPr>
          <w:noProof/>
          <w:lang w:eastAsia="de-DE"/>
        </w:rPr>
        <w:drawing>
          <wp:inline distT="0" distB="0" distL="0" distR="0">
            <wp:extent cx="162560" cy="95250"/>
            <wp:effectExtent l="0" t="0" r="8890" b="0"/>
            <wp:docPr id="11" name="Grafik 11" descr="zurück zum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zurück zum Tex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2560" cy="95250"/>
                    </a:xfrm>
                    <a:prstGeom prst="rect">
                      <a:avLst/>
                    </a:prstGeom>
                    <a:noFill/>
                    <a:ln>
                      <a:noFill/>
                    </a:ln>
                  </pic:spPr>
                </pic:pic>
              </a:graphicData>
            </a:graphic>
          </wp:inline>
        </w:drawing>
      </w:r>
    </w:p>
    <w:p w:rsidR="0036253B" w:rsidRPr="0036253B" w:rsidRDefault="0036253B" w:rsidP="0036253B">
      <w:pPr>
        <w:jc w:val="both"/>
      </w:pPr>
      <w:r w:rsidRPr="0036253B">
        <w:rPr>
          <w:vertAlign w:val="superscript"/>
        </w:rPr>
        <w:t>73</w:t>
      </w:r>
      <w:r w:rsidRPr="0036253B">
        <w:t> </w:t>
      </w:r>
    </w:p>
    <w:p w:rsidR="0036253B" w:rsidRPr="0036253B" w:rsidRDefault="0036253B" w:rsidP="0036253B">
      <w:pPr>
        <w:jc w:val="both"/>
      </w:pPr>
      <w:r w:rsidRPr="0036253B">
        <w:t xml:space="preserve">Auch nicht in Form des sog. </w:t>
      </w:r>
      <w:proofErr w:type="spellStart"/>
      <w:r w:rsidRPr="0036253B">
        <w:t>sachgedankl</w:t>
      </w:r>
      <w:proofErr w:type="spellEnd"/>
      <w:r w:rsidRPr="0036253B">
        <w:t>. Mitbewusstseins (hierzu o. V).</w:t>
      </w:r>
    </w:p>
    <w:p w:rsidR="0036253B" w:rsidRPr="0036253B" w:rsidRDefault="0036253B" w:rsidP="0036253B">
      <w:pPr>
        <w:jc w:val="both"/>
      </w:pPr>
      <w:r w:rsidRPr="0036253B">
        <w:rPr>
          <w:noProof/>
          <w:lang w:eastAsia="de-DE"/>
        </w:rPr>
        <w:drawing>
          <wp:inline distT="0" distB="0" distL="0" distR="0">
            <wp:extent cx="162560" cy="95250"/>
            <wp:effectExtent l="0" t="0" r="8890" b="0"/>
            <wp:docPr id="10" name="Grafik 10" descr="zurück zum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zurück zum Tex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2560" cy="95250"/>
                    </a:xfrm>
                    <a:prstGeom prst="rect">
                      <a:avLst/>
                    </a:prstGeom>
                    <a:noFill/>
                    <a:ln>
                      <a:noFill/>
                    </a:ln>
                  </pic:spPr>
                </pic:pic>
              </a:graphicData>
            </a:graphic>
          </wp:inline>
        </w:drawing>
      </w:r>
    </w:p>
    <w:p w:rsidR="0036253B" w:rsidRPr="0036253B" w:rsidRDefault="0036253B" w:rsidP="0036253B">
      <w:pPr>
        <w:jc w:val="both"/>
      </w:pPr>
      <w:r w:rsidRPr="0036253B">
        <w:rPr>
          <w:vertAlign w:val="superscript"/>
        </w:rPr>
        <w:t>74</w:t>
      </w:r>
      <w:r w:rsidRPr="0036253B">
        <w:t> </w:t>
      </w:r>
    </w:p>
    <w:p w:rsidR="0036253B" w:rsidRPr="0036253B" w:rsidRDefault="0036253B" w:rsidP="0036253B">
      <w:pPr>
        <w:jc w:val="both"/>
      </w:pPr>
      <w:r w:rsidRPr="0036253B">
        <w:rPr>
          <w:i/>
          <w:iCs/>
        </w:rPr>
        <w:t xml:space="preserve">Kühl </w:t>
      </w:r>
      <w:r w:rsidRPr="0036253B">
        <w:t xml:space="preserve">(o. </w:t>
      </w:r>
      <w:proofErr w:type="spellStart"/>
      <w:r w:rsidRPr="0036253B">
        <w:t>Fußn</w:t>
      </w:r>
      <w:proofErr w:type="spellEnd"/>
      <w:r w:rsidRPr="0036253B">
        <w:t xml:space="preserve">. 1), § 5 </w:t>
      </w:r>
      <w:proofErr w:type="spellStart"/>
      <w:r w:rsidRPr="0036253B">
        <w:t>Rdnrn</w:t>
      </w:r>
      <w:proofErr w:type="spellEnd"/>
      <w:r w:rsidRPr="0036253B">
        <w:t xml:space="preserve">. 23 ff.; </w:t>
      </w:r>
      <w:r w:rsidRPr="0036253B">
        <w:rPr>
          <w:i/>
          <w:iCs/>
        </w:rPr>
        <w:t>Rengier</w:t>
      </w:r>
      <w:r w:rsidRPr="0036253B">
        <w:t xml:space="preserve"> (o. </w:t>
      </w:r>
      <w:proofErr w:type="spellStart"/>
      <w:r w:rsidRPr="0036253B">
        <w:t>Fußn</w:t>
      </w:r>
      <w:proofErr w:type="spellEnd"/>
      <w:r w:rsidRPr="0036253B">
        <w:t xml:space="preserve">. 9), § 14 </w:t>
      </w:r>
      <w:proofErr w:type="spellStart"/>
      <w:r w:rsidRPr="0036253B">
        <w:t>Rdnr</w:t>
      </w:r>
      <w:proofErr w:type="spellEnd"/>
      <w:r w:rsidRPr="0036253B">
        <w:t xml:space="preserve">. 60; </w:t>
      </w:r>
      <w:r w:rsidRPr="0036253B">
        <w:rPr>
          <w:i/>
          <w:iCs/>
        </w:rPr>
        <w:t>Roxin</w:t>
      </w:r>
      <w:r w:rsidRPr="0036253B">
        <w:t xml:space="preserve"> (o. </w:t>
      </w:r>
      <w:proofErr w:type="spellStart"/>
      <w:r w:rsidRPr="0036253B">
        <w:t>Fußn</w:t>
      </w:r>
      <w:proofErr w:type="spellEnd"/>
      <w:r w:rsidRPr="0036253B">
        <w:t xml:space="preserve">. 7), § 12 </w:t>
      </w:r>
      <w:proofErr w:type="spellStart"/>
      <w:r w:rsidRPr="0036253B">
        <w:t>Rdnr</w:t>
      </w:r>
      <w:proofErr w:type="spellEnd"/>
      <w:r w:rsidRPr="0036253B">
        <w:t>. 91.</w:t>
      </w:r>
    </w:p>
    <w:p w:rsidR="0036253B" w:rsidRPr="0036253B" w:rsidRDefault="0036253B" w:rsidP="0036253B">
      <w:pPr>
        <w:jc w:val="both"/>
      </w:pPr>
      <w:r w:rsidRPr="0036253B">
        <w:rPr>
          <w:noProof/>
          <w:lang w:eastAsia="de-DE"/>
        </w:rPr>
        <w:drawing>
          <wp:inline distT="0" distB="0" distL="0" distR="0">
            <wp:extent cx="162560" cy="95250"/>
            <wp:effectExtent l="0" t="0" r="8890" b="0"/>
            <wp:docPr id="9" name="Grafik 9" descr="zurück zum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zurück zum Tex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2560" cy="95250"/>
                    </a:xfrm>
                    <a:prstGeom prst="rect">
                      <a:avLst/>
                    </a:prstGeom>
                    <a:noFill/>
                    <a:ln>
                      <a:noFill/>
                    </a:ln>
                  </pic:spPr>
                </pic:pic>
              </a:graphicData>
            </a:graphic>
          </wp:inline>
        </w:drawing>
      </w:r>
    </w:p>
    <w:p w:rsidR="0036253B" w:rsidRPr="0036253B" w:rsidRDefault="0036253B" w:rsidP="0036253B">
      <w:pPr>
        <w:jc w:val="both"/>
      </w:pPr>
      <w:r w:rsidRPr="0036253B">
        <w:rPr>
          <w:vertAlign w:val="superscript"/>
        </w:rPr>
        <w:t>75</w:t>
      </w:r>
      <w:r w:rsidRPr="0036253B">
        <w:t> </w:t>
      </w:r>
    </w:p>
    <w:p w:rsidR="0036253B" w:rsidRPr="0036253B" w:rsidRDefault="0036253B" w:rsidP="0036253B">
      <w:pPr>
        <w:jc w:val="both"/>
      </w:pPr>
      <w:r w:rsidRPr="0036253B">
        <w:t xml:space="preserve">Vgl. etwa </w:t>
      </w:r>
      <w:r w:rsidRPr="0036253B">
        <w:rPr>
          <w:i/>
          <w:iCs/>
        </w:rPr>
        <w:t>BGH</w:t>
      </w:r>
      <w:r w:rsidRPr="0036253B">
        <w:t xml:space="preserve">, NStZ 2004, 201 (202), m. Anm. </w:t>
      </w:r>
      <w:r w:rsidRPr="0036253B">
        <w:rPr>
          <w:i/>
          <w:iCs/>
        </w:rPr>
        <w:t>Hartmut Schneider</w:t>
      </w:r>
      <w:r w:rsidRPr="0036253B">
        <w:t>.</w:t>
      </w:r>
    </w:p>
    <w:p w:rsidR="0036253B" w:rsidRPr="0036253B" w:rsidRDefault="0036253B" w:rsidP="0036253B">
      <w:pPr>
        <w:jc w:val="both"/>
      </w:pPr>
      <w:r w:rsidRPr="0036253B">
        <w:rPr>
          <w:noProof/>
          <w:lang w:eastAsia="de-DE"/>
        </w:rPr>
        <w:drawing>
          <wp:inline distT="0" distB="0" distL="0" distR="0">
            <wp:extent cx="162560" cy="95250"/>
            <wp:effectExtent l="0" t="0" r="8890" b="0"/>
            <wp:docPr id="8" name="Grafik 8" descr="zurück zum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zurück zum Tex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2560" cy="95250"/>
                    </a:xfrm>
                    <a:prstGeom prst="rect">
                      <a:avLst/>
                    </a:prstGeom>
                    <a:noFill/>
                    <a:ln>
                      <a:noFill/>
                    </a:ln>
                  </pic:spPr>
                </pic:pic>
              </a:graphicData>
            </a:graphic>
          </wp:inline>
        </w:drawing>
      </w:r>
    </w:p>
    <w:p w:rsidR="0036253B" w:rsidRPr="0036253B" w:rsidRDefault="0036253B" w:rsidP="0036253B">
      <w:pPr>
        <w:jc w:val="both"/>
      </w:pPr>
      <w:r w:rsidRPr="0036253B">
        <w:rPr>
          <w:vertAlign w:val="superscript"/>
        </w:rPr>
        <w:t>76</w:t>
      </w:r>
      <w:r w:rsidRPr="0036253B">
        <w:t> </w:t>
      </w:r>
    </w:p>
    <w:p w:rsidR="0036253B" w:rsidRPr="0036253B" w:rsidRDefault="0036253B" w:rsidP="0036253B">
      <w:pPr>
        <w:jc w:val="both"/>
      </w:pPr>
      <w:r w:rsidRPr="0036253B">
        <w:t xml:space="preserve">Insoweit ist zu beachten, dass nach – allerdings zweifelhafter – Judikatur des </w:t>
      </w:r>
      <w:r w:rsidRPr="0036253B">
        <w:rPr>
          <w:i/>
          <w:iCs/>
        </w:rPr>
        <w:t>BGH</w:t>
      </w:r>
      <w:r w:rsidRPr="0036253B">
        <w:t xml:space="preserve"> (z. B. BGHSt 2, 344 [346] = NJW 1952, 1146 [1147 f.]; </w:t>
      </w:r>
      <w:r w:rsidRPr="0036253B">
        <w:rPr>
          <w:i/>
          <w:iCs/>
        </w:rPr>
        <w:t>BGH</w:t>
      </w:r>
      <w:r w:rsidRPr="0036253B">
        <w:t xml:space="preserve">, NStZ 2008, 280 [281]) hiervon in Fällen sukzessiver Mittäterschaft eine Ausnahme gemacht werden soll: Also z. B. Raub in Mittäterschaft auch dann, wenn der bewusst in die Tat „Einsteigende“ u. bei der Wegnahme Mitwirkende erst nach Abschluss d. Gewaltanwendung hinzukommt (zu Recht </w:t>
      </w:r>
      <w:proofErr w:type="spellStart"/>
      <w:r w:rsidRPr="0036253B">
        <w:t>abl.</w:t>
      </w:r>
      <w:proofErr w:type="spellEnd"/>
      <w:r w:rsidRPr="0036253B">
        <w:t xml:space="preserve"> </w:t>
      </w:r>
      <w:r w:rsidRPr="0036253B">
        <w:rPr>
          <w:i/>
          <w:iCs/>
        </w:rPr>
        <w:t>Kühl</w:t>
      </w:r>
      <w:r w:rsidRPr="0036253B">
        <w:t xml:space="preserve"> [o. </w:t>
      </w:r>
      <w:proofErr w:type="spellStart"/>
      <w:r w:rsidRPr="0036253B">
        <w:t>Fußn</w:t>
      </w:r>
      <w:proofErr w:type="spellEnd"/>
      <w:r w:rsidRPr="0036253B">
        <w:t xml:space="preserve">. 1], § 20 </w:t>
      </w:r>
      <w:proofErr w:type="spellStart"/>
      <w:r w:rsidRPr="0036253B">
        <w:t>Rdnr</w:t>
      </w:r>
      <w:proofErr w:type="spellEnd"/>
      <w:r w:rsidRPr="0036253B">
        <w:t xml:space="preserve">. 129; </w:t>
      </w:r>
      <w:r w:rsidRPr="0036253B">
        <w:rPr>
          <w:i/>
          <w:iCs/>
        </w:rPr>
        <w:t>Roxin</w:t>
      </w:r>
      <w:r w:rsidRPr="0036253B">
        <w:t xml:space="preserve"> [o. </w:t>
      </w:r>
      <w:proofErr w:type="spellStart"/>
      <w:r w:rsidRPr="0036253B">
        <w:t>Fußn</w:t>
      </w:r>
      <w:proofErr w:type="spellEnd"/>
      <w:r w:rsidRPr="0036253B">
        <w:t xml:space="preserve">. 7], § 12 </w:t>
      </w:r>
      <w:proofErr w:type="spellStart"/>
      <w:r w:rsidRPr="0036253B">
        <w:t>Rdnr</w:t>
      </w:r>
      <w:proofErr w:type="spellEnd"/>
      <w:r w:rsidRPr="0036253B">
        <w:t>. 91).</w:t>
      </w:r>
    </w:p>
    <w:p w:rsidR="0036253B" w:rsidRPr="0036253B" w:rsidRDefault="0036253B" w:rsidP="0036253B">
      <w:pPr>
        <w:jc w:val="both"/>
      </w:pPr>
      <w:r w:rsidRPr="0036253B">
        <w:rPr>
          <w:noProof/>
          <w:lang w:eastAsia="de-DE"/>
        </w:rPr>
        <w:drawing>
          <wp:inline distT="0" distB="0" distL="0" distR="0">
            <wp:extent cx="162560" cy="95250"/>
            <wp:effectExtent l="0" t="0" r="8890" b="0"/>
            <wp:docPr id="7" name="Grafik 7" descr="zurück zum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zurück zum Tex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2560" cy="95250"/>
                    </a:xfrm>
                    <a:prstGeom prst="rect">
                      <a:avLst/>
                    </a:prstGeom>
                    <a:noFill/>
                    <a:ln>
                      <a:noFill/>
                    </a:ln>
                  </pic:spPr>
                </pic:pic>
              </a:graphicData>
            </a:graphic>
          </wp:inline>
        </w:drawing>
      </w:r>
    </w:p>
    <w:p w:rsidR="0036253B" w:rsidRPr="0036253B" w:rsidRDefault="0036253B" w:rsidP="0036253B">
      <w:pPr>
        <w:jc w:val="both"/>
      </w:pPr>
      <w:r w:rsidRPr="0036253B">
        <w:rPr>
          <w:vertAlign w:val="superscript"/>
        </w:rPr>
        <w:t>77</w:t>
      </w:r>
      <w:r w:rsidRPr="0036253B">
        <w:t> </w:t>
      </w:r>
    </w:p>
    <w:p w:rsidR="0036253B" w:rsidRPr="0036253B" w:rsidRDefault="0036253B" w:rsidP="0036253B">
      <w:pPr>
        <w:jc w:val="both"/>
      </w:pPr>
      <w:proofErr w:type="spellStart"/>
      <w:r w:rsidRPr="0036253B">
        <w:rPr>
          <w:i/>
          <w:iCs/>
        </w:rPr>
        <w:t>Duttge</w:t>
      </w:r>
      <w:proofErr w:type="spellEnd"/>
      <w:r w:rsidRPr="0036253B">
        <w:t xml:space="preserve">, in: </w:t>
      </w:r>
      <w:proofErr w:type="spellStart"/>
      <w:r w:rsidRPr="0036253B">
        <w:rPr>
          <w:i/>
          <w:iCs/>
        </w:rPr>
        <w:t>Dölling</w:t>
      </w:r>
      <w:proofErr w:type="spellEnd"/>
      <w:r w:rsidRPr="0036253B">
        <w:rPr>
          <w:i/>
          <w:iCs/>
        </w:rPr>
        <w:t>/</w:t>
      </w:r>
      <w:proofErr w:type="spellStart"/>
      <w:r w:rsidRPr="0036253B">
        <w:rPr>
          <w:i/>
          <w:iCs/>
        </w:rPr>
        <w:t>Duttge</w:t>
      </w:r>
      <w:proofErr w:type="spellEnd"/>
      <w:r w:rsidRPr="0036253B">
        <w:rPr>
          <w:i/>
          <w:iCs/>
        </w:rPr>
        <w:t>/Rössner</w:t>
      </w:r>
      <w:r w:rsidRPr="0036253B">
        <w:t xml:space="preserve"> (o. </w:t>
      </w:r>
      <w:proofErr w:type="spellStart"/>
      <w:r w:rsidRPr="0036253B">
        <w:t>Fußn</w:t>
      </w:r>
      <w:proofErr w:type="spellEnd"/>
      <w:r w:rsidRPr="0036253B">
        <w:t xml:space="preserve">. 5), StGB § 15 </w:t>
      </w:r>
      <w:proofErr w:type="spellStart"/>
      <w:r w:rsidRPr="0036253B">
        <w:t>Rdnr</w:t>
      </w:r>
      <w:proofErr w:type="spellEnd"/>
      <w:r w:rsidRPr="0036253B">
        <w:t xml:space="preserve">. 9; </w:t>
      </w:r>
      <w:r w:rsidRPr="0036253B">
        <w:rPr>
          <w:i/>
          <w:iCs/>
        </w:rPr>
        <w:t>Rengier</w:t>
      </w:r>
      <w:r w:rsidRPr="0036253B">
        <w:t xml:space="preserve"> (o. </w:t>
      </w:r>
      <w:proofErr w:type="spellStart"/>
      <w:r w:rsidRPr="0036253B">
        <w:t>Fußn</w:t>
      </w:r>
      <w:proofErr w:type="spellEnd"/>
      <w:r w:rsidRPr="0036253B">
        <w:t xml:space="preserve">. 9), § 14 </w:t>
      </w:r>
      <w:proofErr w:type="spellStart"/>
      <w:r w:rsidRPr="0036253B">
        <w:t>Rdnrn</w:t>
      </w:r>
      <w:proofErr w:type="spellEnd"/>
      <w:r w:rsidRPr="0036253B">
        <w:t xml:space="preserve">. 61 f.; </w:t>
      </w:r>
      <w:r w:rsidRPr="0036253B">
        <w:rPr>
          <w:i/>
          <w:iCs/>
        </w:rPr>
        <w:t>Vogel</w:t>
      </w:r>
      <w:r w:rsidRPr="0036253B">
        <w:t xml:space="preserve">, in: LK-StGB (o. </w:t>
      </w:r>
      <w:proofErr w:type="spellStart"/>
      <w:r w:rsidRPr="0036253B">
        <w:t>Fußn</w:t>
      </w:r>
      <w:proofErr w:type="spellEnd"/>
      <w:r w:rsidRPr="0036253B">
        <w:t xml:space="preserve">. 1), § 15 </w:t>
      </w:r>
      <w:proofErr w:type="spellStart"/>
      <w:r w:rsidRPr="0036253B">
        <w:t>Rdnr</w:t>
      </w:r>
      <w:proofErr w:type="spellEnd"/>
      <w:r w:rsidRPr="0036253B">
        <w:t>. 53.</w:t>
      </w:r>
    </w:p>
    <w:p w:rsidR="0036253B" w:rsidRPr="0036253B" w:rsidRDefault="0036253B" w:rsidP="0036253B">
      <w:pPr>
        <w:jc w:val="both"/>
      </w:pPr>
      <w:r w:rsidRPr="0036253B">
        <w:rPr>
          <w:noProof/>
          <w:lang w:eastAsia="de-DE"/>
        </w:rPr>
        <w:drawing>
          <wp:inline distT="0" distB="0" distL="0" distR="0">
            <wp:extent cx="162560" cy="95250"/>
            <wp:effectExtent l="0" t="0" r="8890" b="0"/>
            <wp:docPr id="6" name="Grafik 6" descr="zurück zum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zurück zum Tex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2560" cy="95250"/>
                    </a:xfrm>
                    <a:prstGeom prst="rect">
                      <a:avLst/>
                    </a:prstGeom>
                    <a:noFill/>
                    <a:ln>
                      <a:noFill/>
                    </a:ln>
                  </pic:spPr>
                </pic:pic>
              </a:graphicData>
            </a:graphic>
          </wp:inline>
        </w:drawing>
      </w:r>
    </w:p>
    <w:p w:rsidR="0036253B" w:rsidRPr="0036253B" w:rsidRDefault="0036253B" w:rsidP="0036253B">
      <w:pPr>
        <w:jc w:val="both"/>
      </w:pPr>
      <w:r w:rsidRPr="0036253B">
        <w:rPr>
          <w:vertAlign w:val="superscript"/>
        </w:rPr>
        <w:t>78</w:t>
      </w:r>
      <w:r w:rsidRPr="0036253B">
        <w:t> </w:t>
      </w:r>
    </w:p>
    <w:p w:rsidR="0036253B" w:rsidRPr="0036253B" w:rsidRDefault="0036253B" w:rsidP="0036253B">
      <w:pPr>
        <w:jc w:val="both"/>
      </w:pPr>
      <w:r w:rsidRPr="0036253B">
        <w:rPr>
          <w:i/>
          <w:iCs/>
        </w:rPr>
        <w:t>Rengier</w:t>
      </w:r>
      <w:r w:rsidRPr="0036253B">
        <w:t xml:space="preserve"> (o. </w:t>
      </w:r>
      <w:proofErr w:type="spellStart"/>
      <w:r w:rsidRPr="0036253B">
        <w:t>Fußn</w:t>
      </w:r>
      <w:proofErr w:type="spellEnd"/>
      <w:r w:rsidRPr="0036253B">
        <w:t xml:space="preserve">. 9), § 14 </w:t>
      </w:r>
      <w:proofErr w:type="spellStart"/>
      <w:r w:rsidRPr="0036253B">
        <w:t>Rdnrn</w:t>
      </w:r>
      <w:proofErr w:type="spellEnd"/>
      <w:r w:rsidRPr="0036253B">
        <w:t>. 61 f.</w:t>
      </w:r>
    </w:p>
    <w:p w:rsidR="0036253B" w:rsidRPr="0036253B" w:rsidRDefault="0036253B" w:rsidP="0036253B">
      <w:pPr>
        <w:jc w:val="both"/>
      </w:pPr>
      <w:r w:rsidRPr="0036253B">
        <w:rPr>
          <w:noProof/>
          <w:lang w:eastAsia="de-DE"/>
        </w:rPr>
        <w:drawing>
          <wp:inline distT="0" distB="0" distL="0" distR="0">
            <wp:extent cx="162560" cy="95250"/>
            <wp:effectExtent l="0" t="0" r="8890" b="0"/>
            <wp:docPr id="5" name="Grafik 5" descr="zurück zum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zurück zum Tex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2560" cy="95250"/>
                    </a:xfrm>
                    <a:prstGeom prst="rect">
                      <a:avLst/>
                    </a:prstGeom>
                    <a:noFill/>
                    <a:ln>
                      <a:noFill/>
                    </a:ln>
                  </pic:spPr>
                </pic:pic>
              </a:graphicData>
            </a:graphic>
          </wp:inline>
        </w:drawing>
      </w:r>
    </w:p>
    <w:p w:rsidR="0036253B" w:rsidRPr="0036253B" w:rsidRDefault="0036253B" w:rsidP="0036253B">
      <w:pPr>
        <w:jc w:val="both"/>
      </w:pPr>
      <w:r w:rsidRPr="0036253B">
        <w:rPr>
          <w:vertAlign w:val="superscript"/>
        </w:rPr>
        <w:t>79</w:t>
      </w:r>
      <w:r w:rsidRPr="0036253B">
        <w:t> </w:t>
      </w:r>
    </w:p>
    <w:p w:rsidR="0036253B" w:rsidRPr="0036253B" w:rsidRDefault="0036253B" w:rsidP="0036253B">
      <w:pPr>
        <w:jc w:val="both"/>
      </w:pPr>
      <w:r w:rsidRPr="0036253B">
        <w:t xml:space="preserve">Und nicht etwa mangels Vorsatzes: </w:t>
      </w:r>
      <w:r w:rsidRPr="0036253B">
        <w:rPr>
          <w:i/>
          <w:iCs/>
        </w:rPr>
        <w:t>Roxin</w:t>
      </w:r>
      <w:r w:rsidRPr="0036253B">
        <w:t xml:space="preserve"> (o. </w:t>
      </w:r>
      <w:proofErr w:type="spellStart"/>
      <w:r w:rsidRPr="0036253B">
        <w:t>Fußn</w:t>
      </w:r>
      <w:proofErr w:type="spellEnd"/>
      <w:r w:rsidRPr="0036253B">
        <w:t xml:space="preserve">. 7), § 12 </w:t>
      </w:r>
      <w:proofErr w:type="spellStart"/>
      <w:r w:rsidRPr="0036253B">
        <w:t>Rdnr</w:t>
      </w:r>
      <w:proofErr w:type="spellEnd"/>
      <w:r w:rsidRPr="0036253B">
        <w:t>. 90.</w:t>
      </w:r>
    </w:p>
    <w:p w:rsidR="0036253B" w:rsidRPr="0036253B" w:rsidRDefault="0036253B" w:rsidP="0036253B">
      <w:pPr>
        <w:jc w:val="both"/>
      </w:pPr>
      <w:r w:rsidRPr="0036253B">
        <w:rPr>
          <w:noProof/>
          <w:lang w:eastAsia="de-DE"/>
        </w:rPr>
        <w:drawing>
          <wp:inline distT="0" distB="0" distL="0" distR="0">
            <wp:extent cx="162560" cy="95250"/>
            <wp:effectExtent l="0" t="0" r="8890" b="0"/>
            <wp:docPr id="4" name="Grafik 4" descr="zurück zum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zurück zum Tex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2560" cy="95250"/>
                    </a:xfrm>
                    <a:prstGeom prst="rect">
                      <a:avLst/>
                    </a:prstGeom>
                    <a:noFill/>
                    <a:ln>
                      <a:noFill/>
                    </a:ln>
                  </pic:spPr>
                </pic:pic>
              </a:graphicData>
            </a:graphic>
          </wp:inline>
        </w:drawing>
      </w:r>
    </w:p>
    <w:p w:rsidR="0036253B" w:rsidRPr="0036253B" w:rsidRDefault="0036253B" w:rsidP="0036253B">
      <w:pPr>
        <w:jc w:val="both"/>
      </w:pPr>
      <w:r w:rsidRPr="0036253B">
        <w:rPr>
          <w:vertAlign w:val="superscript"/>
        </w:rPr>
        <w:t>80</w:t>
      </w:r>
      <w:r w:rsidRPr="0036253B">
        <w:t> </w:t>
      </w:r>
    </w:p>
    <w:p w:rsidR="0036253B" w:rsidRPr="0036253B" w:rsidRDefault="0036253B" w:rsidP="0036253B">
      <w:pPr>
        <w:jc w:val="both"/>
      </w:pPr>
      <w:r w:rsidRPr="0036253B">
        <w:rPr>
          <w:i/>
          <w:iCs/>
        </w:rPr>
        <w:t>Sternberg-Lieben</w:t>
      </w:r>
      <w:r w:rsidRPr="0036253B">
        <w:t xml:space="preserve">, in: </w:t>
      </w:r>
      <w:r w:rsidRPr="0036253B">
        <w:rPr>
          <w:i/>
          <w:iCs/>
        </w:rPr>
        <w:t>Schönke/Schröder</w:t>
      </w:r>
      <w:r w:rsidRPr="0036253B">
        <w:t xml:space="preserve"> (o. </w:t>
      </w:r>
      <w:proofErr w:type="spellStart"/>
      <w:r w:rsidRPr="0036253B">
        <w:t>Fußn</w:t>
      </w:r>
      <w:proofErr w:type="spellEnd"/>
      <w:r w:rsidRPr="0036253B">
        <w:t xml:space="preserve">. 4), § 15 </w:t>
      </w:r>
      <w:proofErr w:type="spellStart"/>
      <w:r w:rsidRPr="0036253B">
        <w:t>Rdnr</w:t>
      </w:r>
      <w:proofErr w:type="spellEnd"/>
      <w:r w:rsidRPr="0036253B">
        <w:t xml:space="preserve">. 25; </w:t>
      </w:r>
      <w:r w:rsidRPr="0036253B">
        <w:rPr>
          <w:i/>
          <w:iCs/>
        </w:rPr>
        <w:t>Vogel</w:t>
      </w:r>
      <w:r w:rsidRPr="0036253B">
        <w:t xml:space="preserve">, in: LK-StGB (o. </w:t>
      </w:r>
      <w:proofErr w:type="spellStart"/>
      <w:r w:rsidRPr="0036253B">
        <w:t>Fußn</w:t>
      </w:r>
      <w:proofErr w:type="spellEnd"/>
      <w:r w:rsidRPr="0036253B">
        <w:t xml:space="preserve">. 1), § 15 </w:t>
      </w:r>
      <w:proofErr w:type="spellStart"/>
      <w:r w:rsidRPr="0036253B">
        <w:t>Rdnr</w:t>
      </w:r>
      <w:proofErr w:type="spellEnd"/>
      <w:r w:rsidRPr="0036253B">
        <w:t>. 55.</w:t>
      </w:r>
    </w:p>
    <w:p w:rsidR="0036253B" w:rsidRPr="0036253B" w:rsidRDefault="0036253B" w:rsidP="0036253B">
      <w:pPr>
        <w:jc w:val="both"/>
      </w:pPr>
      <w:r w:rsidRPr="0036253B">
        <w:rPr>
          <w:noProof/>
          <w:lang w:eastAsia="de-DE"/>
        </w:rPr>
        <w:drawing>
          <wp:inline distT="0" distB="0" distL="0" distR="0">
            <wp:extent cx="162560" cy="95250"/>
            <wp:effectExtent l="0" t="0" r="8890" b="0"/>
            <wp:docPr id="3" name="Grafik 3" descr="zurück zum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zurück zum Tex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2560" cy="95250"/>
                    </a:xfrm>
                    <a:prstGeom prst="rect">
                      <a:avLst/>
                    </a:prstGeom>
                    <a:noFill/>
                    <a:ln>
                      <a:noFill/>
                    </a:ln>
                  </pic:spPr>
                </pic:pic>
              </a:graphicData>
            </a:graphic>
          </wp:inline>
        </w:drawing>
      </w:r>
    </w:p>
    <w:p w:rsidR="0036253B" w:rsidRPr="0036253B" w:rsidRDefault="0036253B" w:rsidP="0036253B">
      <w:pPr>
        <w:jc w:val="both"/>
      </w:pPr>
      <w:r w:rsidRPr="0036253B">
        <w:rPr>
          <w:vertAlign w:val="superscript"/>
        </w:rPr>
        <w:t>81</w:t>
      </w:r>
      <w:r w:rsidRPr="0036253B">
        <w:t> </w:t>
      </w:r>
    </w:p>
    <w:p w:rsidR="0036253B" w:rsidRPr="0036253B" w:rsidRDefault="0036253B" w:rsidP="0036253B">
      <w:pPr>
        <w:jc w:val="both"/>
      </w:pPr>
      <w:r w:rsidRPr="0036253B">
        <w:t xml:space="preserve">Zur sukzessiven Mittäterschaft insoweit o. </w:t>
      </w:r>
      <w:proofErr w:type="spellStart"/>
      <w:r w:rsidRPr="0036253B">
        <w:t>Fußn</w:t>
      </w:r>
      <w:proofErr w:type="spellEnd"/>
      <w:r w:rsidRPr="0036253B">
        <w:t xml:space="preserve">. 76. – Zur Problematik eines Raubes durch Unterlassen nach zuvor ohne Raubabsicht eingesetzter Gewalt bei späterem Ausnutzen der fortdauernden Gewaltwirkung: </w:t>
      </w:r>
      <w:r w:rsidRPr="0036253B">
        <w:rPr>
          <w:i/>
          <w:iCs/>
        </w:rPr>
        <w:t>Eser/Bosch</w:t>
      </w:r>
      <w:r w:rsidRPr="0036253B">
        <w:t xml:space="preserve">, in: </w:t>
      </w:r>
      <w:r w:rsidRPr="0036253B">
        <w:rPr>
          <w:i/>
          <w:iCs/>
        </w:rPr>
        <w:t>Schönke/Schröder</w:t>
      </w:r>
      <w:r w:rsidRPr="0036253B">
        <w:t xml:space="preserve"> (o. </w:t>
      </w:r>
      <w:proofErr w:type="spellStart"/>
      <w:r w:rsidRPr="0036253B">
        <w:t>Fußn</w:t>
      </w:r>
      <w:proofErr w:type="spellEnd"/>
      <w:r w:rsidRPr="0036253B">
        <w:t xml:space="preserve">. 4), § 249 </w:t>
      </w:r>
      <w:proofErr w:type="spellStart"/>
      <w:r w:rsidRPr="0036253B">
        <w:t>Rdnrn</w:t>
      </w:r>
      <w:proofErr w:type="spellEnd"/>
      <w:r w:rsidRPr="0036253B">
        <w:t>. 6 ff.</w:t>
      </w:r>
    </w:p>
    <w:p w:rsidR="0036253B" w:rsidRPr="0036253B" w:rsidRDefault="0036253B" w:rsidP="0036253B">
      <w:pPr>
        <w:jc w:val="both"/>
      </w:pPr>
      <w:r w:rsidRPr="0036253B">
        <w:rPr>
          <w:noProof/>
          <w:lang w:eastAsia="de-DE"/>
        </w:rPr>
        <w:drawing>
          <wp:inline distT="0" distB="0" distL="0" distR="0">
            <wp:extent cx="162560" cy="95250"/>
            <wp:effectExtent l="0" t="0" r="8890" b="0"/>
            <wp:docPr id="2" name="Grafik 2" descr="zurück zum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zurück zum Tex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2560" cy="95250"/>
                    </a:xfrm>
                    <a:prstGeom prst="rect">
                      <a:avLst/>
                    </a:prstGeom>
                    <a:noFill/>
                    <a:ln>
                      <a:noFill/>
                    </a:ln>
                  </pic:spPr>
                </pic:pic>
              </a:graphicData>
            </a:graphic>
          </wp:inline>
        </w:drawing>
      </w:r>
    </w:p>
    <w:p w:rsidR="0036253B" w:rsidRPr="0036253B" w:rsidRDefault="0036253B" w:rsidP="0036253B">
      <w:pPr>
        <w:jc w:val="both"/>
      </w:pPr>
      <w:r w:rsidRPr="0036253B">
        <w:rPr>
          <w:vertAlign w:val="superscript"/>
        </w:rPr>
        <w:t>82</w:t>
      </w:r>
      <w:r w:rsidRPr="0036253B">
        <w:t> </w:t>
      </w:r>
    </w:p>
    <w:p w:rsidR="0036253B" w:rsidRPr="0036253B" w:rsidRDefault="0036253B" w:rsidP="0036253B">
      <w:pPr>
        <w:jc w:val="both"/>
      </w:pPr>
      <w:r w:rsidRPr="0036253B">
        <w:t>BGHSt 3, 76 (78) = NJW 1952, 1026.</w:t>
      </w:r>
    </w:p>
    <w:p w:rsidR="0036253B" w:rsidRPr="0036253B" w:rsidRDefault="0036253B" w:rsidP="0036253B">
      <w:pPr>
        <w:jc w:val="both"/>
      </w:pPr>
      <w:r w:rsidRPr="0036253B">
        <w:rPr>
          <w:noProof/>
          <w:lang w:eastAsia="de-DE"/>
        </w:rPr>
        <w:drawing>
          <wp:inline distT="0" distB="0" distL="0" distR="0">
            <wp:extent cx="162560" cy="95250"/>
            <wp:effectExtent l="0" t="0" r="8890" b="0"/>
            <wp:docPr id="1" name="Grafik 1" descr="zurück zum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zurück zum Tex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2560" cy="95250"/>
                    </a:xfrm>
                    <a:prstGeom prst="rect">
                      <a:avLst/>
                    </a:prstGeom>
                    <a:noFill/>
                    <a:ln>
                      <a:noFill/>
                    </a:ln>
                  </pic:spPr>
                </pic:pic>
              </a:graphicData>
            </a:graphic>
          </wp:inline>
        </w:drawing>
      </w:r>
    </w:p>
    <w:p w:rsidR="001E297D" w:rsidRDefault="001E297D" w:rsidP="0036253B">
      <w:pPr>
        <w:jc w:val="both"/>
      </w:pPr>
    </w:p>
    <w:sectPr w:rsidR="001E297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403D90"/>
    <w:multiLevelType w:val="multilevel"/>
    <w:tmpl w:val="0E22A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E6488D"/>
    <w:multiLevelType w:val="multilevel"/>
    <w:tmpl w:val="038A4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E7B15EC"/>
    <w:multiLevelType w:val="multilevel"/>
    <w:tmpl w:val="60EE0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FDB2626"/>
    <w:multiLevelType w:val="multilevel"/>
    <w:tmpl w:val="59069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8E43D22"/>
    <w:multiLevelType w:val="multilevel"/>
    <w:tmpl w:val="082CC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ADB1F39"/>
    <w:multiLevelType w:val="multilevel"/>
    <w:tmpl w:val="2800F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5"/>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53B"/>
    <w:rsid w:val="00015926"/>
    <w:rsid w:val="001E297D"/>
    <w:rsid w:val="0036253B"/>
    <w:rsid w:val="008A787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AAE82315-DA44-4E8C-931A-B0251E820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36253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3">
    <w:name w:val="heading 3"/>
    <w:basedOn w:val="Standard"/>
    <w:link w:val="berschrift3Zchn"/>
    <w:uiPriority w:val="9"/>
    <w:qFormat/>
    <w:rsid w:val="0036253B"/>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6253B"/>
    <w:rPr>
      <w:rFonts w:ascii="Times New Roman" w:eastAsia="Times New Roman" w:hAnsi="Times New Roman" w:cs="Times New Roman"/>
      <w:b/>
      <w:bCs/>
      <w:kern w:val="36"/>
      <w:sz w:val="48"/>
      <w:szCs w:val="48"/>
      <w:lang w:eastAsia="de-DE"/>
    </w:rPr>
  </w:style>
  <w:style w:type="character" w:customStyle="1" w:styleId="berschrift3Zchn">
    <w:name w:val="Überschrift 3 Zchn"/>
    <w:basedOn w:val="Absatz-Standardschriftart"/>
    <w:link w:val="berschrift3"/>
    <w:uiPriority w:val="9"/>
    <w:rsid w:val="0036253B"/>
    <w:rPr>
      <w:rFonts w:ascii="Times New Roman" w:eastAsia="Times New Roman" w:hAnsi="Times New Roman" w:cs="Times New Roman"/>
      <w:b/>
      <w:bCs/>
      <w:sz w:val="27"/>
      <w:szCs w:val="27"/>
      <w:lang w:eastAsia="de-DE"/>
    </w:rPr>
  </w:style>
  <w:style w:type="character" w:customStyle="1" w:styleId="titel">
    <w:name w:val="titel"/>
    <w:basedOn w:val="Absatz-Standardschriftart"/>
    <w:rsid w:val="0036253B"/>
  </w:style>
  <w:style w:type="character" w:customStyle="1" w:styleId="citation">
    <w:name w:val="citation"/>
    <w:basedOn w:val="Absatz-Standardschriftart"/>
    <w:rsid w:val="0036253B"/>
  </w:style>
  <w:style w:type="paragraph" w:customStyle="1" w:styleId="authorline">
    <w:name w:val="authorline"/>
    <w:basedOn w:val="Standard"/>
    <w:rsid w:val="0036253B"/>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tandardWeb">
    <w:name w:val="Normal (Web)"/>
    <w:basedOn w:val="Standard"/>
    <w:uiPriority w:val="99"/>
    <w:semiHidden/>
    <w:unhideWhenUsed/>
    <w:rsid w:val="0036253B"/>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zit">
    <w:name w:val="zit"/>
    <w:basedOn w:val="Absatz-Standardschriftart"/>
    <w:rsid w:val="0036253B"/>
  </w:style>
  <w:style w:type="character" w:styleId="Hervorhebung">
    <w:name w:val="Emphasis"/>
    <w:basedOn w:val="Absatz-Standardschriftart"/>
    <w:uiPriority w:val="20"/>
    <w:qFormat/>
    <w:rsid w:val="0036253B"/>
    <w:rPr>
      <w:i/>
      <w:iCs/>
    </w:rPr>
  </w:style>
  <w:style w:type="paragraph" w:customStyle="1" w:styleId="klein">
    <w:name w:val="klein"/>
    <w:basedOn w:val="Standard"/>
    <w:rsid w:val="0036253B"/>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pgact">
    <w:name w:val="pgact"/>
    <w:basedOn w:val="Standard"/>
    <w:rsid w:val="0036253B"/>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pg">
    <w:name w:val="pg"/>
    <w:basedOn w:val="Absatz-Standardschriftart"/>
    <w:rsid w:val="0036253B"/>
  </w:style>
  <w:style w:type="character" w:customStyle="1" w:styleId="fnback">
    <w:name w:val="fnback"/>
    <w:basedOn w:val="Absatz-Standardschriftart"/>
    <w:rsid w:val="003625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9962647">
      <w:bodyDiv w:val="1"/>
      <w:marLeft w:val="0"/>
      <w:marRight w:val="0"/>
      <w:marTop w:val="0"/>
      <w:marBottom w:val="0"/>
      <w:divBdr>
        <w:top w:val="none" w:sz="0" w:space="0" w:color="auto"/>
        <w:left w:val="none" w:sz="0" w:space="0" w:color="auto"/>
        <w:bottom w:val="none" w:sz="0" w:space="0" w:color="auto"/>
        <w:right w:val="none" w:sz="0" w:space="0" w:color="auto"/>
      </w:divBdr>
      <w:divsChild>
        <w:div w:id="642200313">
          <w:marLeft w:val="0"/>
          <w:marRight w:val="0"/>
          <w:marTop w:val="0"/>
          <w:marBottom w:val="0"/>
          <w:divBdr>
            <w:top w:val="none" w:sz="0" w:space="0" w:color="auto"/>
            <w:left w:val="none" w:sz="0" w:space="0" w:color="auto"/>
            <w:bottom w:val="none" w:sz="0" w:space="0" w:color="auto"/>
            <w:right w:val="none" w:sz="0" w:space="0" w:color="auto"/>
          </w:divBdr>
        </w:div>
        <w:div w:id="799878576">
          <w:marLeft w:val="0"/>
          <w:marRight w:val="0"/>
          <w:marTop w:val="0"/>
          <w:marBottom w:val="0"/>
          <w:divBdr>
            <w:top w:val="none" w:sz="0" w:space="0" w:color="auto"/>
            <w:left w:val="none" w:sz="0" w:space="0" w:color="auto"/>
            <w:bottom w:val="none" w:sz="0" w:space="0" w:color="auto"/>
            <w:right w:val="none" w:sz="0" w:space="0" w:color="auto"/>
          </w:divBdr>
        </w:div>
        <w:div w:id="1520385694">
          <w:marLeft w:val="0"/>
          <w:marRight w:val="0"/>
          <w:marTop w:val="0"/>
          <w:marBottom w:val="0"/>
          <w:divBdr>
            <w:top w:val="none" w:sz="0" w:space="0" w:color="auto"/>
            <w:left w:val="none" w:sz="0" w:space="0" w:color="auto"/>
            <w:bottom w:val="none" w:sz="0" w:space="0" w:color="auto"/>
            <w:right w:val="none" w:sz="0" w:space="0" w:color="auto"/>
          </w:divBdr>
        </w:div>
        <w:div w:id="1095324462">
          <w:marLeft w:val="0"/>
          <w:marRight w:val="0"/>
          <w:marTop w:val="0"/>
          <w:marBottom w:val="0"/>
          <w:divBdr>
            <w:top w:val="none" w:sz="0" w:space="0" w:color="auto"/>
            <w:left w:val="none" w:sz="0" w:space="0" w:color="auto"/>
            <w:bottom w:val="none" w:sz="0" w:space="0" w:color="auto"/>
            <w:right w:val="none" w:sz="0" w:space="0" w:color="auto"/>
          </w:divBdr>
        </w:div>
        <w:div w:id="762921542">
          <w:marLeft w:val="0"/>
          <w:marRight w:val="0"/>
          <w:marTop w:val="0"/>
          <w:marBottom w:val="0"/>
          <w:divBdr>
            <w:top w:val="none" w:sz="0" w:space="0" w:color="auto"/>
            <w:left w:val="none" w:sz="0" w:space="0" w:color="auto"/>
            <w:bottom w:val="none" w:sz="0" w:space="0" w:color="auto"/>
            <w:right w:val="none" w:sz="0" w:space="0" w:color="auto"/>
          </w:divBdr>
        </w:div>
        <w:div w:id="301272752">
          <w:marLeft w:val="0"/>
          <w:marRight w:val="0"/>
          <w:marTop w:val="0"/>
          <w:marBottom w:val="0"/>
          <w:divBdr>
            <w:top w:val="none" w:sz="0" w:space="0" w:color="auto"/>
            <w:left w:val="none" w:sz="0" w:space="0" w:color="auto"/>
            <w:bottom w:val="none" w:sz="0" w:space="0" w:color="auto"/>
            <w:right w:val="none" w:sz="0" w:space="0" w:color="auto"/>
          </w:divBdr>
        </w:div>
        <w:div w:id="6950368">
          <w:marLeft w:val="0"/>
          <w:marRight w:val="0"/>
          <w:marTop w:val="0"/>
          <w:marBottom w:val="0"/>
          <w:divBdr>
            <w:top w:val="none" w:sz="0" w:space="0" w:color="auto"/>
            <w:left w:val="none" w:sz="0" w:space="0" w:color="auto"/>
            <w:bottom w:val="none" w:sz="0" w:space="0" w:color="auto"/>
            <w:right w:val="none" w:sz="0" w:space="0" w:color="auto"/>
          </w:divBdr>
        </w:div>
        <w:div w:id="1321619174">
          <w:marLeft w:val="0"/>
          <w:marRight w:val="0"/>
          <w:marTop w:val="0"/>
          <w:marBottom w:val="0"/>
          <w:divBdr>
            <w:top w:val="none" w:sz="0" w:space="0" w:color="auto"/>
            <w:left w:val="none" w:sz="0" w:space="0" w:color="auto"/>
            <w:bottom w:val="none" w:sz="0" w:space="0" w:color="auto"/>
            <w:right w:val="none" w:sz="0" w:space="0" w:color="auto"/>
          </w:divBdr>
          <w:divsChild>
            <w:div w:id="644744808">
              <w:marLeft w:val="0"/>
              <w:marRight w:val="0"/>
              <w:marTop w:val="0"/>
              <w:marBottom w:val="0"/>
              <w:divBdr>
                <w:top w:val="none" w:sz="0" w:space="0" w:color="auto"/>
                <w:left w:val="none" w:sz="0" w:space="0" w:color="auto"/>
                <w:bottom w:val="none" w:sz="0" w:space="0" w:color="auto"/>
                <w:right w:val="none" w:sz="0" w:space="0" w:color="auto"/>
              </w:divBdr>
              <w:divsChild>
                <w:div w:id="1564486054">
                  <w:marLeft w:val="0"/>
                  <w:marRight w:val="0"/>
                  <w:marTop w:val="0"/>
                  <w:marBottom w:val="0"/>
                  <w:divBdr>
                    <w:top w:val="none" w:sz="0" w:space="0" w:color="auto"/>
                    <w:left w:val="none" w:sz="0" w:space="0" w:color="auto"/>
                    <w:bottom w:val="none" w:sz="0" w:space="0" w:color="auto"/>
                    <w:right w:val="none" w:sz="0" w:space="0" w:color="auto"/>
                  </w:divBdr>
                </w:div>
                <w:div w:id="118243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250849">
          <w:marLeft w:val="0"/>
          <w:marRight w:val="0"/>
          <w:marTop w:val="0"/>
          <w:marBottom w:val="0"/>
          <w:divBdr>
            <w:top w:val="none" w:sz="0" w:space="0" w:color="auto"/>
            <w:left w:val="none" w:sz="0" w:space="0" w:color="auto"/>
            <w:bottom w:val="none" w:sz="0" w:space="0" w:color="auto"/>
            <w:right w:val="none" w:sz="0" w:space="0" w:color="auto"/>
          </w:divBdr>
          <w:divsChild>
            <w:div w:id="792134935">
              <w:marLeft w:val="0"/>
              <w:marRight w:val="0"/>
              <w:marTop w:val="0"/>
              <w:marBottom w:val="0"/>
              <w:divBdr>
                <w:top w:val="none" w:sz="0" w:space="0" w:color="auto"/>
                <w:left w:val="none" w:sz="0" w:space="0" w:color="auto"/>
                <w:bottom w:val="none" w:sz="0" w:space="0" w:color="auto"/>
                <w:right w:val="none" w:sz="0" w:space="0" w:color="auto"/>
              </w:divBdr>
              <w:divsChild>
                <w:div w:id="1389572884">
                  <w:marLeft w:val="0"/>
                  <w:marRight w:val="0"/>
                  <w:marTop w:val="0"/>
                  <w:marBottom w:val="0"/>
                  <w:divBdr>
                    <w:top w:val="none" w:sz="0" w:space="0" w:color="auto"/>
                    <w:left w:val="none" w:sz="0" w:space="0" w:color="auto"/>
                    <w:bottom w:val="none" w:sz="0" w:space="0" w:color="auto"/>
                    <w:right w:val="none" w:sz="0" w:space="0" w:color="auto"/>
                  </w:divBdr>
                </w:div>
                <w:div w:id="46466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539445">
          <w:marLeft w:val="0"/>
          <w:marRight w:val="0"/>
          <w:marTop w:val="0"/>
          <w:marBottom w:val="0"/>
          <w:divBdr>
            <w:top w:val="none" w:sz="0" w:space="0" w:color="auto"/>
            <w:left w:val="none" w:sz="0" w:space="0" w:color="auto"/>
            <w:bottom w:val="none" w:sz="0" w:space="0" w:color="auto"/>
            <w:right w:val="none" w:sz="0" w:space="0" w:color="auto"/>
          </w:divBdr>
          <w:divsChild>
            <w:div w:id="159544416">
              <w:marLeft w:val="0"/>
              <w:marRight w:val="0"/>
              <w:marTop w:val="0"/>
              <w:marBottom w:val="0"/>
              <w:divBdr>
                <w:top w:val="none" w:sz="0" w:space="0" w:color="auto"/>
                <w:left w:val="none" w:sz="0" w:space="0" w:color="auto"/>
                <w:bottom w:val="none" w:sz="0" w:space="0" w:color="auto"/>
                <w:right w:val="none" w:sz="0" w:space="0" w:color="auto"/>
              </w:divBdr>
              <w:divsChild>
                <w:div w:id="2143884550">
                  <w:marLeft w:val="0"/>
                  <w:marRight w:val="0"/>
                  <w:marTop w:val="0"/>
                  <w:marBottom w:val="0"/>
                  <w:divBdr>
                    <w:top w:val="none" w:sz="0" w:space="0" w:color="auto"/>
                    <w:left w:val="none" w:sz="0" w:space="0" w:color="auto"/>
                    <w:bottom w:val="none" w:sz="0" w:space="0" w:color="auto"/>
                    <w:right w:val="none" w:sz="0" w:space="0" w:color="auto"/>
                  </w:divBdr>
                </w:div>
                <w:div w:id="4105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168032">
          <w:marLeft w:val="0"/>
          <w:marRight w:val="0"/>
          <w:marTop w:val="0"/>
          <w:marBottom w:val="0"/>
          <w:divBdr>
            <w:top w:val="none" w:sz="0" w:space="0" w:color="auto"/>
            <w:left w:val="none" w:sz="0" w:space="0" w:color="auto"/>
            <w:bottom w:val="none" w:sz="0" w:space="0" w:color="auto"/>
            <w:right w:val="none" w:sz="0" w:space="0" w:color="auto"/>
          </w:divBdr>
        </w:div>
        <w:div w:id="674192868">
          <w:marLeft w:val="0"/>
          <w:marRight w:val="0"/>
          <w:marTop w:val="0"/>
          <w:marBottom w:val="0"/>
          <w:divBdr>
            <w:top w:val="none" w:sz="0" w:space="0" w:color="auto"/>
            <w:left w:val="none" w:sz="0" w:space="0" w:color="auto"/>
            <w:bottom w:val="none" w:sz="0" w:space="0" w:color="auto"/>
            <w:right w:val="none" w:sz="0" w:space="0" w:color="auto"/>
          </w:divBdr>
          <w:divsChild>
            <w:div w:id="1053389639">
              <w:marLeft w:val="0"/>
              <w:marRight w:val="0"/>
              <w:marTop w:val="0"/>
              <w:marBottom w:val="0"/>
              <w:divBdr>
                <w:top w:val="none" w:sz="0" w:space="0" w:color="auto"/>
                <w:left w:val="none" w:sz="0" w:space="0" w:color="auto"/>
                <w:bottom w:val="none" w:sz="0" w:space="0" w:color="auto"/>
                <w:right w:val="none" w:sz="0" w:space="0" w:color="auto"/>
              </w:divBdr>
              <w:divsChild>
                <w:div w:id="1932424696">
                  <w:marLeft w:val="0"/>
                  <w:marRight w:val="0"/>
                  <w:marTop w:val="0"/>
                  <w:marBottom w:val="0"/>
                  <w:divBdr>
                    <w:top w:val="none" w:sz="0" w:space="0" w:color="auto"/>
                    <w:left w:val="none" w:sz="0" w:space="0" w:color="auto"/>
                    <w:bottom w:val="none" w:sz="0" w:space="0" w:color="auto"/>
                    <w:right w:val="none" w:sz="0" w:space="0" w:color="auto"/>
                  </w:divBdr>
                </w:div>
                <w:div w:id="1708675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20580">
          <w:marLeft w:val="0"/>
          <w:marRight w:val="0"/>
          <w:marTop w:val="0"/>
          <w:marBottom w:val="0"/>
          <w:divBdr>
            <w:top w:val="none" w:sz="0" w:space="0" w:color="auto"/>
            <w:left w:val="none" w:sz="0" w:space="0" w:color="auto"/>
            <w:bottom w:val="none" w:sz="0" w:space="0" w:color="auto"/>
            <w:right w:val="none" w:sz="0" w:space="0" w:color="auto"/>
          </w:divBdr>
        </w:div>
        <w:div w:id="4176722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4706</Words>
  <Characters>29649</Characters>
  <Application>Microsoft Office Word</Application>
  <DocSecurity>4</DocSecurity>
  <Lines>247</Lines>
  <Paragraphs>68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Sternberg</dc:creator>
  <cp:keywords/>
  <dc:description/>
  <cp:lastModifiedBy>Kerstin Liebscher</cp:lastModifiedBy>
  <cp:revision>2</cp:revision>
  <dcterms:created xsi:type="dcterms:W3CDTF">2015-06-01T14:02:00Z</dcterms:created>
  <dcterms:modified xsi:type="dcterms:W3CDTF">2015-06-01T14:02:00Z</dcterms:modified>
</cp:coreProperties>
</file>