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263" w:rsidRDefault="00332263" w:rsidP="00960D85">
      <w:pPr>
        <w:tabs>
          <w:tab w:val="left" w:pos="3649"/>
          <w:tab w:val="left" w:pos="5349"/>
          <w:tab w:val="left" w:pos="7992"/>
          <w:tab w:val="left" w:pos="9409"/>
          <w:tab w:val="left" w:pos="10778"/>
        </w:tabs>
        <w:jc w:val="both"/>
        <w:rPr>
          <w:rFonts w:cstheme="minorHAnsi"/>
          <w:szCs w:val="22"/>
          <w:lang w:val="en-US" w:eastAsia="de-DE"/>
        </w:rPr>
      </w:pPr>
      <w:bookmarkStart w:id="0" w:name="_GoBack"/>
      <w:bookmarkEnd w:id="0"/>
      <w:r w:rsidRPr="00120A13">
        <w:rPr>
          <w:noProof/>
          <w:lang w:val="de-DE" w:eastAsia="de-DE"/>
        </w:rPr>
        <w:drawing>
          <wp:anchor distT="0" distB="0" distL="114300" distR="114300" simplePos="0" relativeHeight="251659264" behindDoc="1" locked="0" layoutInCell="1" allowOverlap="1" wp14:anchorId="1F0F3DD0" wp14:editId="26C30618">
            <wp:simplePos x="0" y="0"/>
            <wp:positionH relativeFrom="margin">
              <wp:posOffset>1994535</wp:posOffset>
            </wp:positionH>
            <wp:positionV relativeFrom="paragraph">
              <wp:posOffset>-337820</wp:posOffset>
            </wp:positionV>
            <wp:extent cx="2053518" cy="838200"/>
            <wp:effectExtent l="0" t="0" r="4445" b="0"/>
            <wp:wrapNone/>
            <wp:docPr id="8" name="Grafik 8" descr="C:\Users\svriddel\Desktop\images\TU_Dresden_Logo_blau_HK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riddel\Desktop\images\TU_Dresden_Logo_blau_HKS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518"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263" w:rsidRDefault="00332263" w:rsidP="00960D85">
      <w:pPr>
        <w:tabs>
          <w:tab w:val="left" w:pos="3649"/>
          <w:tab w:val="left" w:pos="5349"/>
          <w:tab w:val="left" w:pos="7992"/>
          <w:tab w:val="left" w:pos="9409"/>
          <w:tab w:val="left" w:pos="10778"/>
        </w:tabs>
        <w:jc w:val="both"/>
        <w:rPr>
          <w:rFonts w:cstheme="minorHAnsi"/>
          <w:szCs w:val="22"/>
          <w:lang w:val="en-US" w:eastAsia="de-DE"/>
        </w:rPr>
      </w:pPr>
    </w:p>
    <w:p w:rsidR="00332263" w:rsidRDefault="00332263" w:rsidP="00960D85">
      <w:pPr>
        <w:tabs>
          <w:tab w:val="left" w:pos="3649"/>
          <w:tab w:val="left" w:pos="5349"/>
          <w:tab w:val="left" w:pos="7992"/>
          <w:tab w:val="left" w:pos="9409"/>
          <w:tab w:val="left" w:pos="10778"/>
        </w:tabs>
        <w:jc w:val="both"/>
        <w:rPr>
          <w:rFonts w:cstheme="minorHAnsi"/>
          <w:szCs w:val="22"/>
          <w:lang w:val="en-US" w:eastAsia="de-DE"/>
        </w:rPr>
      </w:pPr>
    </w:p>
    <w:p w:rsidR="00332263" w:rsidRDefault="00332263" w:rsidP="00960D85">
      <w:pPr>
        <w:tabs>
          <w:tab w:val="left" w:pos="3649"/>
          <w:tab w:val="left" w:pos="5349"/>
          <w:tab w:val="left" w:pos="7992"/>
          <w:tab w:val="left" w:pos="9409"/>
          <w:tab w:val="left" w:pos="10778"/>
        </w:tabs>
        <w:jc w:val="both"/>
        <w:rPr>
          <w:rFonts w:cstheme="minorHAnsi"/>
          <w:szCs w:val="22"/>
          <w:lang w:val="en-US" w:eastAsia="de-DE"/>
        </w:rPr>
      </w:pPr>
    </w:p>
    <w:p w:rsidR="00332263" w:rsidRDefault="00150450" w:rsidP="00960D85">
      <w:pPr>
        <w:tabs>
          <w:tab w:val="left" w:pos="3649"/>
          <w:tab w:val="left" w:pos="5349"/>
          <w:tab w:val="left" w:pos="7992"/>
          <w:tab w:val="left" w:pos="9409"/>
          <w:tab w:val="left" w:pos="10778"/>
        </w:tabs>
        <w:jc w:val="both"/>
        <w:rPr>
          <w:rFonts w:cstheme="minorHAnsi"/>
          <w:szCs w:val="22"/>
          <w:lang w:val="en-US" w:eastAsia="de-DE"/>
        </w:rPr>
      </w:pPr>
      <w:r>
        <w:rPr>
          <w:rFonts w:cstheme="minorHAnsi"/>
          <w:szCs w:val="22"/>
          <w:lang w:val="en-US" w:eastAsia="de-DE"/>
        </w:rPr>
        <w:tab/>
      </w:r>
      <w:r>
        <w:rPr>
          <w:noProof/>
          <w:lang w:val="de-DE" w:eastAsia="de-DE"/>
        </w:rPr>
        <w:drawing>
          <wp:inline distT="0" distB="0" distL="0" distR="0" wp14:anchorId="536B3917" wp14:editId="537A114E">
            <wp:extent cx="1514475" cy="776437"/>
            <wp:effectExtent l="0" t="0" r="0" b="508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1390" cy="810743"/>
                    </a:xfrm>
                    <a:prstGeom prst="rect">
                      <a:avLst/>
                    </a:prstGeom>
                  </pic:spPr>
                </pic:pic>
              </a:graphicData>
            </a:graphic>
          </wp:inline>
        </w:drawing>
      </w:r>
    </w:p>
    <w:p w:rsidR="00504AD5" w:rsidRDefault="00504AD5" w:rsidP="00960D85">
      <w:pPr>
        <w:tabs>
          <w:tab w:val="left" w:pos="3649"/>
          <w:tab w:val="left" w:pos="5349"/>
          <w:tab w:val="left" w:pos="7992"/>
          <w:tab w:val="left" w:pos="9409"/>
          <w:tab w:val="left" w:pos="10778"/>
        </w:tabs>
        <w:jc w:val="both"/>
        <w:rPr>
          <w:rFonts w:cstheme="minorHAnsi"/>
          <w:szCs w:val="22"/>
          <w:lang w:val="en-US" w:eastAsia="de-DE"/>
        </w:rPr>
      </w:pPr>
    </w:p>
    <w:p w:rsidR="00150450" w:rsidRDefault="00150450"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r>
        <w:rPr>
          <w:noProof/>
          <w:lang w:val="de-DE" w:eastAsia="de-DE"/>
        </w:rPr>
        <w:drawing>
          <wp:anchor distT="0" distB="0" distL="114300" distR="114300" simplePos="0" relativeHeight="251661312" behindDoc="0" locked="0" layoutInCell="1" allowOverlap="1" wp14:anchorId="52BA0C80" wp14:editId="467E6ED4">
            <wp:simplePos x="0" y="0"/>
            <wp:positionH relativeFrom="margin">
              <wp:posOffset>2210463</wp:posOffset>
            </wp:positionH>
            <wp:positionV relativeFrom="paragraph">
              <wp:posOffset>7951</wp:posOffset>
            </wp:positionV>
            <wp:extent cx="1699260" cy="697865"/>
            <wp:effectExtent l="0" t="0" r="0" b="6985"/>
            <wp:wrapNone/>
            <wp:docPr id="34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Cs w:val="22"/>
          <w:lang w:val="en-US" w:eastAsia="de-DE"/>
        </w:rPr>
        <w:tab/>
      </w: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D95170" w:rsidP="00C6213B">
      <w:pPr>
        <w:tabs>
          <w:tab w:val="left" w:pos="3649"/>
          <w:tab w:val="left" w:pos="5349"/>
          <w:tab w:val="left" w:pos="7992"/>
          <w:tab w:val="left" w:pos="9409"/>
          <w:tab w:val="left" w:pos="10778"/>
        </w:tabs>
        <w:ind w:left="708"/>
        <w:jc w:val="center"/>
        <w:rPr>
          <w:rStyle w:val="IntensiveHervorhebung"/>
          <w:rFonts w:ascii="Calibri" w:hAnsi="Calibri" w:cs="Calibri"/>
          <w:b/>
          <w:bCs/>
          <w:i w:val="0"/>
          <w:color w:val="1F4E79"/>
          <w:sz w:val="32"/>
          <w:szCs w:val="32"/>
          <w:u w:val="single"/>
          <w:lang w:eastAsia="en-US"/>
        </w:rPr>
      </w:pPr>
      <w:r w:rsidRPr="00C6213B">
        <w:rPr>
          <w:rStyle w:val="IntensiveHervorhebung"/>
          <w:rFonts w:ascii="Calibri" w:hAnsi="Calibri" w:cs="Calibri"/>
          <w:b/>
          <w:bCs/>
          <w:i w:val="0"/>
          <w:color w:val="1F4E79"/>
          <w:sz w:val="32"/>
          <w:szCs w:val="32"/>
          <w:u w:val="single"/>
          <w:lang w:eastAsia="en-US"/>
        </w:rPr>
        <w:t>DE</w:t>
      </w:r>
      <w:r w:rsidR="001E6729" w:rsidRPr="00C6213B">
        <w:rPr>
          <w:rStyle w:val="IntensiveHervorhebung"/>
          <w:rFonts w:ascii="Calibri" w:hAnsi="Calibri" w:cs="Calibri"/>
          <w:b/>
          <w:bCs/>
          <w:i w:val="0"/>
          <w:color w:val="1F4E79"/>
          <w:sz w:val="32"/>
          <w:szCs w:val="32"/>
          <w:u w:val="single"/>
          <w:lang w:eastAsia="en-US"/>
        </w:rPr>
        <w:t>CIDE</w:t>
      </w:r>
      <w:r w:rsidRPr="00C6213B">
        <w:rPr>
          <w:rStyle w:val="IntensiveHervorhebung"/>
          <w:rFonts w:ascii="Calibri" w:hAnsi="Calibri" w:cs="Calibri"/>
          <w:b/>
          <w:bCs/>
          <w:i w:val="0"/>
          <w:color w:val="1F4E79"/>
          <w:sz w:val="32"/>
          <w:szCs w:val="32"/>
          <w:u w:val="single"/>
          <w:lang w:eastAsia="en-US"/>
        </w:rPr>
        <w:t xml:space="preserve"> CBHE PORJECT:</w:t>
      </w:r>
    </w:p>
    <w:p w:rsidR="00150450" w:rsidRPr="00C6213B" w:rsidRDefault="00D95170" w:rsidP="00C6213B">
      <w:pPr>
        <w:tabs>
          <w:tab w:val="left" w:pos="3649"/>
          <w:tab w:val="left" w:pos="5349"/>
          <w:tab w:val="left" w:pos="7992"/>
          <w:tab w:val="left" w:pos="9409"/>
          <w:tab w:val="left" w:pos="10778"/>
        </w:tabs>
        <w:ind w:left="708"/>
        <w:jc w:val="center"/>
        <w:rPr>
          <w:rFonts w:cstheme="minorHAnsi"/>
          <w:b/>
          <w:i/>
          <w:sz w:val="24"/>
          <w:szCs w:val="24"/>
          <w:lang w:val="en-US" w:eastAsia="de-DE"/>
        </w:rPr>
      </w:pPr>
      <w:r w:rsidRPr="00C6213B">
        <w:rPr>
          <w:rStyle w:val="IntensiveHervorhebung"/>
          <w:rFonts w:ascii="Calibri" w:hAnsi="Calibri" w:cs="Calibri"/>
          <w:b/>
          <w:bCs/>
          <w:i w:val="0"/>
          <w:color w:val="1F4E79"/>
          <w:sz w:val="32"/>
          <w:szCs w:val="32"/>
          <w:u w:val="single"/>
          <w:lang w:eastAsia="en-US"/>
        </w:rPr>
        <w:t>Developing Services for Individuals with Disabilities</w:t>
      </w:r>
    </w:p>
    <w:p w:rsidR="00332263" w:rsidRDefault="00150450" w:rsidP="00960D85">
      <w:pPr>
        <w:tabs>
          <w:tab w:val="left" w:pos="3649"/>
          <w:tab w:val="left" w:pos="5349"/>
          <w:tab w:val="left" w:pos="7992"/>
          <w:tab w:val="left" w:pos="9409"/>
          <w:tab w:val="left" w:pos="10778"/>
        </w:tabs>
        <w:jc w:val="both"/>
        <w:rPr>
          <w:rFonts w:cstheme="minorHAnsi"/>
          <w:szCs w:val="22"/>
          <w:lang w:val="en-US" w:eastAsia="de-DE"/>
        </w:rPr>
      </w:pPr>
      <w:r>
        <w:rPr>
          <w:rFonts w:cstheme="minorHAnsi"/>
          <w:szCs w:val="22"/>
          <w:lang w:val="en-US" w:eastAsia="de-DE"/>
        </w:rPr>
        <w:tab/>
      </w:r>
      <w:r>
        <w:rPr>
          <w:rFonts w:cstheme="minorHAnsi"/>
          <w:szCs w:val="22"/>
          <w:lang w:val="en-US" w:eastAsia="de-DE"/>
        </w:rPr>
        <w:tab/>
      </w:r>
    </w:p>
    <w:p w:rsidR="00836601" w:rsidRPr="00836601" w:rsidRDefault="00836601" w:rsidP="00836601">
      <w:pPr>
        <w:pStyle w:val="berschrift1"/>
        <w:jc w:val="both"/>
        <w:rPr>
          <w:rStyle w:val="IntensiveHervorhebung"/>
          <w:rFonts w:ascii="Calibri" w:hAnsi="Calibri" w:cs="Calibri"/>
          <w:b/>
          <w:bCs/>
          <w:i w:val="0"/>
          <w:color w:val="1F4E79"/>
          <w:u w:val="single"/>
        </w:rPr>
      </w:pPr>
      <w:r w:rsidRPr="00836601">
        <w:rPr>
          <w:rStyle w:val="IntensiveHervorhebung"/>
          <w:rFonts w:ascii="Calibri" w:hAnsi="Calibri" w:cs="Calibri"/>
          <w:b/>
          <w:bCs/>
          <w:i w:val="0"/>
          <w:color w:val="1F4E79"/>
          <w:u w:val="single"/>
        </w:rPr>
        <w:t>About CBHE</w:t>
      </w:r>
    </w:p>
    <w:p w:rsidR="00836601" w:rsidRPr="0051567A" w:rsidRDefault="00836601" w:rsidP="00836601"/>
    <w:p w:rsidR="00836601" w:rsidRPr="00D95170" w:rsidRDefault="00836601" w:rsidP="00836601">
      <w:pPr>
        <w:rPr>
          <w:rFonts w:cstheme="minorHAnsi"/>
        </w:rPr>
      </w:pPr>
      <w:r w:rsidRPr="001B1C3C">
        <w:rPr>
          <w:rFonts w:cstheme="minorHAnsi"/>
        </w:rPr>
        <w:t xml:space="preserve">CBHE </w:t>
      </w:r>
      <w:r>
        <w:rPr>
          <w:rFonts w:cstheme="minorHAnsi"/>
        </w:rPr>
        <w:t xml:space="preserve">is the European Union’s programme whose </w:t>
      </w:r>
      <w:r w:rsidRPr="001B1C3C">
        <w:rPr>
          <w:rFonts w:cstheme="minorHAnsi"/>
        </w:rPr>
        <w:t>aim</w:t>
      </w:r>
      <w:r>
        <w:rPr>
          <w:rFonts w:cstheme="minorHAnsi"/>
        </w:rPr>
        <w:t xml:space="preserve"> is to</w:t>
      </w:r>
      <w:r w:rsidRPr="001B1C3C">
        <w:rPr>
          <w:rFonts w:cstheme="minorHAnsi"/>
        </w:rPr>
        <w:t xml:space="preserve"> </w:t>
      </w:r>
      <w:r>
        <w:rPr>
          <w:rFonts w:cstheme="minorHAnsi"/>
          <w:color w:val="000000"/>
        </w:rPr>
        <w:t xml:space="preserve">improve, develop, and modernise </w:t>
      </w:r>
      <w:r w:rsidRPr="001B1C3C">
        <w:rPr>
          <w:rFonts w:cstheme="minorHAnsi"/>
          <w:color w:val="000000"/>
        </w:rPr>
        <w:t xml:space="preserve">higher education systems </w:t>
      </w:r>
      <w:r>
        <w:rPr>
          <w:rFonts w:cstheme="minorHAnsi"/>
          <w:color w:val="000000"/>
        </w:rPr>
        <w:t xml:space="preserve">and to support cooperation of Partner Countries </w:t>
      </w:r>
      <w:r w:rsidRPr="001B1C3C">
        <w:rPr>
          <w:rFonts w:cstheme="minorHAnsi"/>
          <w:color w:val="000000"/>
        </w:rPr>
        <w:t>across different regions of the world</w:t>
      </w:r>
      <w:r>
        <w:rPr>
          <w:rFonts w:cstheme="minorHAnsi"/>
          <w:color w:val="000000"/>
        </w:rPr>
        <w:t xml:space="preserve"> such as Eastern Europe and (Central) Asia</w:t>
      </w:r>
      <w:r w:rsidRPr="001B1C3C">
        <w:rPr>
          <w:rFonts w:cstheme="minorHAnsi"/>
          <w:color w:val="000000"/>
        </w:rPr>
        <w:t xml:space="preserve"> </w:t>
      </w:r>
      <w:r>
        <w:rPr>
          <w:rFonts w:cstheme="minorHAnsi"/>
          <w:color w:val="000000"/>
        </w:rPr>
        <w:t xml:space="preserve">mainly </w:t>
      </w:r>
      <w:r w:rsidRPr="001B1C3C">
        <w:rPr>
          <w:rFonts w:cstheme="minorHAnsi"/>
          <w:color w:val="000000"/>
        </w:rPr>
        <w:t xml:space="preserve">through </w:t>
      </w:r>
      <w:r>
        <w:rPr>
          <w:rFonts w:cstheme="minorHAnsi"/>
          <w:color w:val="000000"/>
        </w:rPr>
        <w:t>university cooperation projects</w:t>
      </w:r>
      <w:r w:rsidRPr="001B1C3C">
        <w:rPr>
          <w:rFonts w:cstheme="minorHAnsi"/>
          <w:color w:val="000000"/>
        </w:rPr>
        <w:t>.</w:t>
      </w:r>
      <w:r>
        <w:rPr>
          <w:rFonts w:cstheme="minorHAnsi"/>
          <w:szCs w:val="22"/>
          <w:lang w:val="en-US" w:eastAsia="de-DE"/>
        </w:rPr>
        <w:t xml:space="preserve"> </w:t>
      </w:r>
    </w:p>
    <w:p w:rsidR="00836601" w:rsidRDefault="00836601" w:rsidP="00836601">
      <w:pPr>
        <w:tabs>
          <w:tab w:val="left" w:pos="3649"/>
          <w:tab w:val="left" w:pos="5349"/>
          <w:tab w:val="left" w:pos="7992"/>
          <w:tab w:val="left" w:pos="9409"/>
          <w:tab w:val="left" w:pos="10778"/>
        </w:tabs>
        <w:jc w:val="both"/>
        <w:rPr>
          <w:rFonts w:cstheme="minorHAnsi"/>
          <w:szCs w:val="22"/>
          <w:lang w:val="en-US" w:eastAsia="de-DE"/>
        </w:rPr>
      </w:pPr>
      <w:r w:rsidRPr="001B1C3C">
        <w:rPr>
          <w:rFonts w:cstheme="minorHAnsi"/>
        </w:rPr>
        <w:t>The D</w:t>
      </w:r>
      <w:r>
        <w:rPr>
          <w:rFonts w:cstheme="minorHAnsi"/>
        </w:rPr>
        <w:t>ECIDE</w:t>
      </w:r>
      <w:r w:rsidRPr="001B1C3C">
        <w:rPr>
          <w:rFonts w:cstheme="minorHAnsi"/>
        </w:rPr>
        <w:t xml:space="preserve"> project has been funded by the European Commission through the Capacity-Building in Higher Education Programme (CBHE) as part of the Key Action 2 projects. </w:t>
      </w:r>
    </w:p>
    <w:p w:rsidR="00332263" w:rsidRDefault="00332263" w:rsidP="00960D85">
      <w:pPr>
        <w:tabs>
          <w:tab w:val="left" w:pos="3649"/>
          <w:tab w:val="left" w:pos="5349"/>
          <w:tab w:val="left" w:pos="7992"/>
          <w:tab w:val="left" w:pos="9409"/>
          <w:tab w:val="left" w:pos="10778"/>
        </w:tabs>
        <w:jc w:val="both"/>
        <w:rPr>
          <w:rFonts w:cstheme="minorHAnsi"/>
          <w:szCs w:val="22"/>
          <w:lang w:val="en-US" w:eastAsia="de-DE"/>
        </w:rPr>
      </w:pPr>
    </w:p>
    <w:p w:rsidR="00836601" w:rsidRDefault="00960D85" w:rsidP="00836601">
      <w:pPr>
        <w:rPr>
          <w:rFonts w:cstheme="minorHAnsi"/>
          <w:szCs w:val="22"/>
          <w:lang w:val="en-US" w:eastAsia="de-DE"/>
        </w:rPr>
      </w:pPr>
      <w:r w:rsidRPr="00836601">
        <w:rPr>
          <w:rStyle w:val="IntensiveHervorhebung"/>
          <w:rFonts w:ascii="Calibri" w:hAnsi="Calibri" w:cs="Calibri"/>
          <w:b/>
          <w:bCs/>
          <w:i w:val="0"/>
          <w:color w:val="1F4E79"/>
          <w:sz w:val="32"/>
          <w:szCs w:val="32"/>
          <w:u w:val="single"/>
          <w:lang w:eastAsia="en-US"/>
        </w:rPr>
        <w:t>Technische Universitat Dresden</w:t>
      </w:r>
    </w:p>
    <w:p w:rsidR="00836601" w:rsidRDefault="00836601" w:rsidP="00836601">
      <w:pPr>
        <w:rPr>
          <w:rFonts w:cstheme="minorHAnsi"/>
          <w:szCs w:val="22"/>
          <w:lang w:val="en-US" w:eastAsia="de-DE"/>
        </w:rPr>
      </w:pPr>
    </w:p>
    <w:p w:rsidR="007F76D8" w:rsidRPr="006273F1" w:rsidRDefault="00836601" w:rsidP="007F76D8">
      <w:pPr>
        <w:rPr>
          <w:rFonts w:cstheme="minorHAnsi"/>
        </w:rPr>
      </w:pPr>
      <w:r>
        <w:rPr>
          <w:rFonts w:cstheme="minorHAnsi"/>
          <w:szCs w:val="22"/>
          <w:lang w:val="en-US" w:eastAsia="de-DE"/>
        </w:rPr>
        <w:t>The Technische Universität Dresden</w:t>
      </w:r>
      <w:r w:rsidR="006273F1">
        <w:rPr>
          <w:rFonts w:cstheme="minorHAnsi"/>
          <w:szCs w:val="22"/>
          <w:lang w:val="en-US" w:eastAsia="de-DE"/>
        </w:rPr>
        <w:t>, (TUD)</w:t>
      </w:r>
      <w:r w:rsidR="00960D85" w:rsidRPr="009602EE">
        <w:rPr>
          <w:rFonts w:cstheme="minorHAnsi"/>
          <w:szCs w:val="22"/>
          <w:lang w:val="en-US" w:eastAsia="de-DE"/>
        </w:rPr>
        <w:t>, is one of the largest technical universities in Germany and is a full university with 14 faculties including medicine, pedagogy etc</w:t>
      </w:r>
      <w:r w:rsidR="00332263">
        <w:rPr>
          <w:rFonts w:cstheme="minorHAnsi"/>
          <w:szCs w:val="22"/>
          <w:lang w:val="en-US" w:eastAsia="de-DE"/>
        </w:rPr>
        <w:t>.</w:t>
      </w:r>
      <w:r w:rsidR="00C30BE2">
        <w:rPr>
          <w:rFonts w:cstheme="minorHAnsi"/>
          <w:szCs w:val="22"/>
          <w:lang w:val="en-US" w:eastAsia="de-DE"/>
        </w:rPr>
        <w:t xml:space="preserve"> </w:t>
      </w:r>
      <w:r w:rsidR="00960D85" w:rsidRPr="009602EE">
        <w:rPr>
          <w:rFonts w:cstheme="minorHAnsi"/>
          <w:szCs w:val="22"/>
          <w:lang w:val="en-US" w:eastAsia="de-DE"/>
        </w:rPr>
        <w:t xml:space="preserve"> As a former part of the Soviet bloc of Eas</w:t>
      </w:r>
      <w:r w:rsidR="00960D85">
        <w:rPr>
          <w:rFonts w:cstheme="minorHAnsi"/>
          <w:szCs w:val="22"/>
          <w:lang w:val="en-US" w:eastAsia="de-DE"/>
        </w:rPr>
        <w:t xml:space="preserve">t Germany, </w:t>
      </w:r>
      <w:r w:rsidR="00960D85" w:rsidRPr="009602EE">
        <w:rPr>
          <w:rFonts w:cstheme="minorHAnsi"/>
          <w:szCs w:val="22"/>
          <w:lang w:val="en-US" w:eastAsia="de-DE"/>
        </w:rPr>
        <w:t>TUD has significant experience working with universities from the central European and former USSR regions. It is fully compliant with German laws relating to persons with special needs and its campus is a role model for special needs access</w:t>
      </w:r>
      <w:r w:rsidR="00332263">
        <w:rPr>
          <w:rFonts w:cstheme="minorHAnsi"/>
          <w:szCs w:val="22"/>
          <w:lang w:val="en-US" w:eastAsia="de-DE"/>
        </w:rPr>
        <w:t>,</w:t>
      </w:r>
      <w:r w:rsidR="00960D85" w:rsidRPr="009602EE">
        <w:rPr>
          <w:rFonts w:cstheme="minorHAnsi"/>
          <w:szCs w:val="22"/>
          <w:lang w:val="en-US" w:eastAsia="de-DE"/>
        </w:rPr>
        <w:t xml:space="preserve"> and </w:t>
      </w:r>
      <w:r w:rsidR="00960D85">
        <w:rPr>
          <w:rFonts w:cstheme="minorHAnsi"/>
          <w:szCs w:val="22"/>
          <w:lang w:val="en-US" w:eastAsia="de-DE"/>
        </w:rPr>
        <w:t xml:space="preserve">staff and student support. </w:t>
      </w:r>
      <w:r>
        <w:rPr>
          <w:rFonts w:cstheme="minorHAnsi"/>
          <w:szCs w:val="22"/>
          <w:lang w:val="en-US" w:eastAsia="de-DE"/>
        </w:rPr>
        <w:t>TUD</w:t>
      </w:r>
      <w:r w:rsidRPr="009602EE">
        <w:rPr>
          <w:rFonts w:cstheme="minorHAnsi"/>
          <w:szCs w:val="22"/>
          <w:lang w:val="en-US" w:eastAsia="de-DE"/>
        </w:rPr>
        <w:t xml:space="preserve"> has extensive EU project experience having been involved in </w:t>
      </w:r>
      <w:r>
        <w:rPr>
          <w:rFonts w:cstheme="minorHAnsi"/>
          <w:szCs w:val="22"/>
          <w:lang w:val="en-US" w:eastAsia="de-DE"/>
        </w:rPr>
        <w:t xml:space="preserve">numerous </w:t>
      </w:r>
      <w:r w:rsidRPr="009602EE">
        <w:rPr>
          <w:rFonts w:cstheme="minorHAnsi"/>
          <w:szCs w:val="22"/>
          <w:lang w:val="en-US" w:eastAsia="de-DE"/>
        </w:rPr>
        <w:t>Tempus and CBHE projects.</w:t>
      </w:r>
      <w:r w:rsidRPr="00D95170">
        <w:rPr>
          <w:rFonts w:cstheme="minorHAnsi"/>
        </w:rPr>
        <w:t xml:space="preserve"> </w:t>
      </w:r>
      <w:r w:rsidR="007F76D8">
        <w:t>TU</w:t>
      </w:r>
      <w:r w:rsidR="006273F1">
        <w:t>D</w:t>
      </w:r>
      <w:r w:rsidR="007F76D8">
        <w:t xml:space="preserve"> is growing by the diversity of its members and is committed to inclusion,</w:t>
      </w:r>
      <w:r w:rsidR="007F76D8" w:rsidRPr="00332263">
        <w:rPr>
          <w:rFonts w:cstheme="minorHAnsi"/>
          <w:szCs w:val="22"/>
          <w:lang w:eastAsia="de-DE"/>
        </w:rPr>
        <w:t xml:space="preserve"> </w:t>
      </w:r>
      <w:r w:rsidR="007F76D8">
        <w:rPr>
          <w:rFonts w:cstheme="minorHAnsi"/>
          <w:szCs w:val="22"/>
          <w:lang w:eastAsia="de-DE"/>
        </w:rPr>
        <w:t>running a long-term programme to enhance inclusion</w:t>
      </w:r>
      <w:r w:rsidR="007F76D8">
        <w:t>. The aim is to allow the fair, non-discriminatory and self-determined participation of people with disabilities and chronic illnesses in all subjects within the university and their ability to contribute to the development of an inclusive university.</w:t>
      </w:r>
      <w:r w:rsidR="007F76D8">
        <w:rPr>
          <w:rFonts w:cstheme="minorHAnsi"/>
          <w:szCs w:val="22"/>
          <w:lang w:eastAsia="de-DE"/>
        </w:rPr>
        <w:t xml:space="preserve"> For more information please see the following link:</w:t>
      </w:r>
    </w:p>
    <w:p w:rsidR="007F76D8" w:rsidRDefault="007F76D8" w:rsidP="007F76D8">
      <w:pPr>
        <w:rPr>
          <w:rFonts w:cstheme="minorHAnsi"/>
          <w:szCs w:val="22"/>
          <w:lang w:eastAsia="de-DE"/>
        </w:rPr>
      </w:pPr>
    </w:p>
    <w:p w:rsidR="007F76D8" w:rsidRDefault="0017773A" w:rsidP="007F76D8">
      <w:pPr>
        <w:rPr>
          <w:b/>
          <w:sz w:val="28"/>
          <w:szCs w:val="28"/>
          <w:lang w:val="en-US"/>
        </w:rPr>
      </w:pPr>
      <w:hyperlink r:id="rId10" w:history="1">
        <w:r w:rsidR="007F76D8" w:rsidRPr="00D849A9">
          <w:rPr>
            <w:rStyle w:val="Hyperlink"/>
            <w:rFonts w:cs="Arial"/>
            <w:b/>
            <w:sz w:val="28"/>
            <w:szCs w:val="28"/>
            <w:lang w:val="en-US"/>
          </w:rPr>
          <w:t>https://tu-dresden.de/tu-dresden/chancengleichheit/?set_language=en</w:t>
        </w:r>
      </w:hyperlink>
    </w:p>
    <w:p w:rsidR="00960D85" w:rsidRDefault="00960D85" w:rsidP="00960D85">
      <w:pPr>
        <w:tabs>
          <w:tab w:val="left" w:pos="3649"/>
          <w:tab w:val="left" w:pos="5349"/>
          <w:tab w:val="left" w:pos="7992"/>
          <w:tab w:val="left" w:pos="9409"/>
          <w:tab w:val="left" w:pos="10778"/>
        </w:tabs>
        <w:jc w:val="both"/>
        <w:rPr>
          <w:rFonts w:cstheme="minorHAnsi"/>
          <w:szCs w:val="22"/>
          <w:lang w:val="en-US" w:eastAsia="de-DE"/>
        </w:rPr>
      </w:pPr>
    </w:p>
    <w:p w:rsidR="00960D85" w:rsidRDefault="00960D85"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C6213B" w:rsidRDefault="00C6213B" w:rsidP="00960D85">
      <w:pPr>
        <w:tabs>
          <w:tab w:val="left" w:pos="3649"/>
          <w:tab w:val="left" w:pos="5349"/>
          <w:tab w:val="left" w:pos="7992"/>
          <w:tab w:val="left" w:pos="9409"/>
          <w:tab w:val="left" w:pos="10778"/>
        </w:tabs>
        <w:jc w:val="both"/>
        <w:rPr>
          <w:rFonts w:cstheme="minorHAnsi"/>
          <w:szCs w:val="22"/>
          <w:lang w:val="en-US" w:eastAsia="de-DE"/>
        </w:rPr>
      </w:pPr>
    </w:p>
    <w:p w:rsidR="00817375" w:rsidRDefault="00817375" w:rsidP="007F76D8">
      <w:pPr>
        <w:rPr>
          <w:rFonts w:cstheme="minorHAnsi"/>
          <w:szCs w:val="22"/>
          <w:lang w:val="en-US" w:eastAsia="de-DE"/>
        </w:rPr>
      </w:pPr>
    </w:p>
    <w:p w:rsidR="00836601" w:rsidRDefault="00FC5FDC" w:rsidP="007F76D8">
      <w:pPr>
        <w:rPr>
          <w:rStyle w:val="IntensiveHervorhebung"/>
          <w:rFonts w:ascii="Calibri" w:hAnsi="Calibri" w:cs="Calibri"/>
          <w:b/>
          <w:bCs/>
          <w:i w:val="0"/>
          <w:color w:val="1F4E79"/>
          <w:sz w:val="32"/>
          <w:szCs w:val="32"/>
          <w:u w:val="single"/>
          <w:lang w:eastAsia="en-US"/>
        </w:rPr>
      </w:pPr>
      <w:r>
        <w:rPr>
          <w:rStyle w:val="IntensiveHervorhebung"/>
          <w:rFonts w:ascii="Calibri" w:hAnsi="Calibri" w:cs="Calibri"/>
          <w:b/>
          <w:bCs/>
          <w:i w:val="0"/>
          <w:color w:val="1F4E79"/>
          <w:sz w:val="32"/>
          <w:szCs w:val="32"/>
          <w:u w:val="single"/>
          <w:lang w:eastAsia="en-US"/>
        </w:rPr>
        <w:t>The DECIDE P</w:t>
      </w:r>
      <w:r w:rsidR="002D3D79" w:rsidRPr="00836601">
        <w:rPr>
          <w:rStyle w:val="IntensiveHervorhebung"/>
          <w:rFonts w:ascii="Calibri" w:hAnsi="Calibri" w:cs="Calibri"/>
          <w:b/>
          <w:bCs/>
          <w:i w:val="0"/>
          <w:color w:val="1F4E79"/>
          <w:sz w:val="32"/>
          <w:szCs w:val="32"/>
          <w:u w:val="single"/>
          <w:lang w:eastAsia="en-US"/>
        </w:rPr>
        <w:t>roject</w:t>
      </w:r>
    </w:p>
    <w:p w:rsidR="001031C4" w:rsidRDefault="0017773A" w:rsidP="007F76D8">
      <w:pPr>
        <w:rPr>
          <w:rFonts w:cs="Times New Roman"/>
          <w:sz w:val="28"/>
          <w:szCs w:val="28"/>
        </w:rPr>
      </w:pPr>
      <w:hyperlink r:id="rId11" w:history="1">
        <w:r w:rsidR="005E7D5D" w:rsidRPr="00704518">
          <w:rPr>
            <w:rStyle w:val="Hyperlink"/>
            <w:sz w:val="28"/>
            <w:szCs w:val="28"/>
          </w:rPr>
          <w:t>http://www.decideproject.ie/</w:t>
        </w:r>
      </w:hyperlink>
    </w:p>
    <w:p w:rsidR="005E7D5D" w:rsidRDefault="005E7D5D" w:rsidP="007F76D8">
      <w:pPr>
        <w:rPr>
          <w:rStyle w:val="IntensiveHervorhebung"/>
          <w:rFonts w:ascii="Calibri" w:hAnsi="Calibri" w:cs="Calibri"/>
          <w:b/>
          <w:bCs/>
          <w:i w:val="0"/>
          <w:color w:val="1F4E79"/>
          <w:sz w:val="32"/>
          <w:szCs w:val="32"/>
          <w:u w:val="single"/>
          <w:lang w:eastAsia="en-US"/>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The specific objectives of the project is the Three Strand Implementation of a comprehensive sustainable curriculum for Teacher Trainer Educators and Lecturers (Universities), secondly for Government &amp; State Employee &amp; Policymakers, and thirdly, for NGO in the PC</w:t>
      </w:r>
      <w:r>
        <w:rPr>
          <w:noProof/>
          <w:szCs w:val="22"/>
        </w:rPr>
        <w:t>'</w:t>
      </w:r>
      <w:r w:rsidRPr="004956B8">
        <w:rPr>
          <w:noProof/>
          <w:szCs w:val="22"/>
        </w:rPr>
        <w:t>S. This will foster the right of individuals with special needs to access education, enjoy the right of participation in everyday society and to combat discrimination by instilling awareness and acceptance in society as in line with Bologna Process and the UN Convention on the Rights of Persons with Disabilities. This in turn facilitates the creation of the Access Liasion Officer role at each institution to promote disability access, and the National Special Needs Awareness Day focus via the nationally strategic Action Groups comprised of universities, public administration institutes, Ministries and NGOs.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The project will promote and develop access to inclusive education, to social integration and to non-discrimantion treatment of those with special needs in education in accordance with Bologna Process and UN criteria. This will initiate the right of individuals with special needs to access education, to enjoy the right of participation in everyday society and to combat discrimination against them in society by instilling awareness and acceptance in society.</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 Principal outcomes and outputs incorporate English for Specific Purposes (Special Needs and Disability) training for all target groups, DECIDE ECTS training, a complete DECIDE Curricul</w:t>
      </w:r>
      <w:r>
        <w:rPr>
          <w:noProof/>
          <w:szCs w:val="22"/>
        </w:rPr>
        <w:t>um</w:t>
      </w:r>
      <w:r w:rsidRPr="004956B8">
        <w:rPr>
          <w:noProof/>
          <w:szCs w:val="22"/>
        </w:rPr>
        <w:t xml:space="preserve"> for all PC institutions  (developed with EU-TUNING), a  piloting of 8 DECIDE Introductory and Advanced Modules (see Project Content) through Piloting during 2 semesters. </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The</w:t>
      </w:r>
      <w:r>
        <w:rPr>
          <w:noProof/>
          <w:szCs w:val="22"/>
        </w:rPr>
        <w:t xml:space="preserve"> </w:t>
      </w:r>
      <w:r w:rsidRPr="004956B8">
        <w:rPr>
          <w:noProof/>
          <w:szCs w:val="22"/>
        </w:rPr>
        <w:t xml:space="preserve">Quality Plan aspects focus on monitoring and evaluation of the 8 module Curricula, and of both the dissemination/sustainability friendly "Action Group" (who will create the 10 year National Awareness Day in both countries) and the "Access Liasion Officer" (helping students with special needs issues in each tertiary organisation) Strategic Review and the Integration Process of National Students Union Participation. </w:t>
      </w:r>
    </w:p>
    <w:p w:rsidR="001031C4" w:rsidRPr="004956B8" w:rsidRDefault="001031C4" w:rsidP="001031C4">
      <w:pPr>
        <w:tabs>
          <w:tab w:val="left" w:pos="3649"/>
          <w:tab w:val="left" w:pos="5349"/>
          <w:tab w:val="left" w:pos="7992"/>
          <w:tab w:val="left" w:pos="9409"/>
          <w:tab w:val="left" w:pos="10778"/>
        </w:tabs>
        <w:rPr>
          <w:noProof/>
          <w:szCs w:val="22"/>
        </w:rPr>
      </w:pPr>
    </w:p>
    <w:p w:rsidR="007F76D8" w:rsidRPr="007F76D8" w:rsidRDefault="001031C4" w:rsidP="001031C4">
      <w:r w:rsidRPr="004956B8">
        <w:rPr>
          <w:noProof/>
          <w:szCs w:val="22"/>
        </w:rPr>
        <w:t>This is all overseen by a total quality management via project structures and meetings and daily project management</w:t>
      </w:r>
    </w:p>
    <w:p w:rsidR="007F76D8" w:rsidRPr="007F76D8" w:rsidRDefault="00504AD5" w:rsidP="007F76D8">
      <w:r>
        <w:t>-</w:t>
      </w:r>
      <w:r w:rsidR="007F76D8" w:rsidRPr="007F76D8">
        <w:t>to promote and develop access to inclusive education, to social integration and to non-discrimination treatment of those with special needs in education in accordance with Bologna Process criteria and UN Convention on the Rights of Persons  with Disabilities.</w:t>
      </w:r>
    </w:p>
    <w:p w:rsidR="007F76D8" w:rsidRPr="007F76D8" w:rsidRDefault="00504AD5" w:rsidP="00960D85">
      <w:r>
        <w:t>-</w:t>
      </w:r>
      <w:r w:rsidR="007F76D8" w:rsidRPr="007F76D8">
        <w:t>to create, pilot and implement a comprehensive training curriculum.</w:t>
      </w:r>
    </w:p>
    <w:p w:rsidR="007F76D8" w:rsidRDefault="007F76D8" w:rsidP="007F76D8">
      <w:pPr>
        <w:rPr>
          <w:rFonts w:cstheme="minorHAnsi"/>
          <w:szCs w:val="22"/>
          <w:lang w:val="en-US" w:eastAsia="de-DE"/>
        </w:rPr>
      </w:pPr>
    </w:p>
    <w:p w:rsidR="001031C4" w:rsidRDefault="001031C4" w:rsidP="001031C4">
      <w:pPr>
        <w:tabs>
          <w:tab w:val="left" w:pos="3649"/>
          <w:tab w:val="left" w:pos="5349"/>
          <w:tab w:val="left" w:pos="7992"/>
          <w:tab w:val="left" w:pos="9409"/>
          <w:tab w:val="left" w:pos="10778"/>
        </w:tabs>
        <w:rPr>
          <w:noProof/>
          <w:szCs w:val="22"/>
        </w:rPr>
      </w:pPr>
    </w:p>
    <w:p w:rsidR="001031C4" w:rsidRDefault="001031C4" w:rsidP="001031C4">
      <w:pPr>
        <w:rPr>
          <w:rStyle w:val="IntensiveHervorhebung"/>
          <w:rFonts w:ascii="Calibri" w:hAnsi="Calibri" w:cs="Calibri"/>
          <w:b/>
          <w:bCs/>
          <w:i w:val="0"/>
          <w:color w:val="1F4E79"/>
          <w:sz w:val="32"/>
          <w:szCs w:val="32"/>
          <w:u w:val="single"/>
          <w:lang w:eastAsia="en-US"/>
        </w:rPr>
      </w:pPr>
      <w:r w:rsidRPr="001031C4">
        <w:rPr>
          <w:rStyle w:val="IntensiveHervorhebung"/>
          <w:rFonts w:ascii="Calibri" w:hAnsi="Calibri" w:cs="Calibri"/>
          <w:b/>
          <w:bCs/>
          <w:i w:val="0"/>
          <w:color w:val="1F4E79"/>
          <w:sz w:val="32"/>
          <w:szCs w:val="32"/>
          <w:u w:val="single"/>
          <w:lang w:eastAsia="en-US"/>
        </w:rPr>
        <w:t>Project Activities and Methodology</w:t>
      </w:r>
    </w:p>
    <w:p w:rsidR="001031C4" w:rsidRPr="001031C4" w:rsidRDefault="001031C4" w:rsidP="001031C4">
      <w:pPr>
        <w:rPr>
          <w:rStyle w:val="IntensiveHervorhebung"/>
          <w:rFonts w:ascii="Calibri" w:hAnsi="Calibri" w:cs="Calibri"/>
          <w:b/>
          <w:bCs/>
          <w:i w:val="0"/>
          <w:color w:val="1F4E79"/>
          <w:sz w:val="32"/>
          <w:szCs w:val="32"/>
          <w:u w:val="single"/>
          <w:lang w:eastAsia="en-US"/>
        </w:rPr>
      </w:pPr>
    </w:p>
    <w:p w:rsidR="00504AD5" w:rsidRDefault="00504AD5" w:rsidP="00504AD5">
      <w:pPr>
        <w:rPr>
          <w:szCs w:val="22"/>
        </w:rPr>
      </w:pPr>
      <w:r>
        <w:rPr>
          <w:szCs w:val="22"/>
        </w:rPr>
        <w:lastRenderedPageBreak/>
        <w:t>TU Dresden</w:t>
      </w:r>
      <w:r w:rsidRPr="002B30B1">
        <w:rPr>
          <w:szCs w:val="22"/>
        </w:rPr>
        <w:t xml:space="preserve"> </w:t>
      </w:r>
      <w:r>
        <w:rPr>
          <w:szCs w:val="22"/>
        </w:rPr>
        <w:t>is</w:t>
      </w:r>
      <w:r w:rsidRPr="002B30B1">
        <w:rPr>
          <w:szCs w:val="22"/>
        </w:rPr>
        <w:t xml:space="preserve"> one of the primary partners </w:t>
      </w:r>
      <w:r>
        <w:rPr>
          <w:szCs w:val="22"/>
        </w:rPr>
        <w:t>in the DECIDE project, helping to</w:t>
      </w:r>
      <w:r w:rsidRPr="002B30B1">
        <w:rPr>
          <w:szCs w:val="22"/>
        </w:rPr>
        <w:t xml:space="preserve"> design, and deliver, the negotiated training programmes using in-house expertise and experience of such activity.</w:t>
      </w:r>
      <w:r>
        <w:rPr>
          <w:szCs w:val="22"/>
        </w:rPr>
        <w:t xml:space="preserve"> We are</w:t>
      </w:r>
    </w:p>
    <w:p w:rsidR="00504AD5" w:rsidRDefault="00504AD5" w:rsidP="00504AD5">
      <w:pPr>
        <w:rPr>
          <w:szCs w:val="22"/>
        </w:rPr>
      </w:pPr>
      <w:r w:rsidRPr="002B30B1">
        <w:rPr>
          <w:szCs w:val="22"/>
        </w:rPr>
        <w:t xml:space="preserve">involved in evaluating the piloting and implementation of </w:t>
      </w:r>
      <w:r>
        <w:rPr>
          <w:szCs w:val="22"/>
        </w:rPr>
        <w:t>modules. In the Development of the DECIDE project TUD has a lead role in the area of English of Specific Purposes Training, DECIDE Curriculum Training and the planning and operation of Piloting, Marketing, and the provision of ECTS and Tuning training.</w:t>
      </w:r>
    </w:p>
    <w:p w:rsidR="00504AD5" w:rsidRDefault="00504AD5" w:rsidP="00504AD5">
      <w:pPr>
        <w:rPr>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Academic Content and Pedagogical Approach: The plan is to develop training programmes supported by ECTS modules (both hard copy in script form and online on project website platform) and embed in curricula in university, training of Civil Servants from various relevant Governmental Bodies and in special needs NGOs to ensure maximum transfer effect to society at large.</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The four aspects of need identified for the PC societies from our analysis are:</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1)      Communication and Interaction (which would include Autism)</w:t>
      </w: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2)      Cognition and Learning (including moderate and severe learning difficulties and Dyslexia)</w:t>
      </w: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3)      Social, Emotional and Behavioural Difficulties</w:t>
      </w: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4)      Sensory and Physical needs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From this stating point we will determine in each case the required accessibility, assistive technology, and methodological approaches needed with respect to how to teach, and meet the needs of persons with disabilities. In this way, each partner will design bespoke training programmes to best meet their target market (i.e. student teachers, policy makers, librarians etc.)</w:t>
      </w:r>
      <w:r>
        <w:rPr>
          <w:noProof/>
          <w:szCs w:val="22"/>
        </w:rPr>
        <w:t xml:space="preserve">, </w:t>
      </w:r>
      <w:r w:rsidRPr="004956B8">
        <w:rPr>
          <w:noProof/>
          <w:szCs w:val="22"/>
        </w:rPr>
        <w:t>enabling flexible and responsive solutions that stem from an agreed set of principles and enabling all areas of disability to be addressed. The pedagogical approach will stress a communicative and skills teaching approach.  This project seeks to introduce a practical and theoretical based approach using learner-centered strategies in creating a focused 8 module programme that is fully compliant with ECTS and EU Tuning tools. It will employ modern best practice case studies and simulations to maximise the learner benefit and promote critical and creative thinking in this special area</w:t>
      </w:r>
      <w:r>
        <w:rPr>
          <w:noProof/>
          <w:szCs w:val="22"/>
        </w:rPr>
        <w:t xml:space="preserve">; </w:t>
      </w:r>
      <w:r w:rsidRPr="004956B8">
        <w:rPr>
          <w:noProof/>
          <w:szCs w:val="22"/>
        </w:rPr>
        <w:t>The Introductory Modules are as follows.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SPECIAL NEEDS INTRODUCTORY (PRACTICAL) MODULES</w:t>
      </w:r>
      <w:r>
        <w:rPr>
          <w:noProof/>
          <w:szCs w:val="22"/>
        </w:rPr>
        <w:t xml:space="preserve"> - ALL NON-EXISTING AT PC UNIVERSITIES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Module 1 </w:t>
      </w: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English for Specific Purposes (Special Needs and Disability) - This is targeted at all partners and will be later integrated into official university and public administration and where feasible NGO programmes.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Module 2  </w:t>
      </w: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 xml:space="preserve">Marketing - Introduction to Theory and Practice - Creating </w:t>
      </w:r>
      <w:r>
        <w:rPr>
          <w:noProof/>
          <w:szCs w:val="22"/>
        </w:rPr>
        <w:t xml:space="preserve">National </w:t>
      </w:r>
      <w:r w:rsidRPr="004956B8">
        <w:rPr>
          <w:noProof/>
          <w:szCs w:val="22"/>
        </w:rPr>
        <w:t>Awareness Campaign Strategies and Supporting NGO Development</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Module 3  </w:t>
      </w: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Use the Library! -  This is targeted at all partners and especially librarians given the potential as underlined by Repanovici Angela</w:t>
      </w:r>
      <w:r>
        <w:rPr>
          <w:noProof/>
          <w:szCs w:val="22"/>
        </w:rPr>
        <w:t>- UTBV</w:t>
      </w:r>
      <w:r w:rsidRPr="004956B8">
        <w:rPr>
          <w:noProof/>
          <w:szCs w:val="22"/>
        </w:rPr>
        <w:t xml:space="preserve"> assessment on integrating disabled persons very effectively into society.</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Module 4 </w:t>
      </w: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Access Liaison Officer Trainee Programme Module - Targeted at all partners with inputs from all partners and the basis for the future Action Group. This training module will ensure that each educational </w:t>
      </w:r>
      <w:r w:rsidRPr="004956B8">
        <w:rPr>
          <w:noProof/>
          <w:szCs w:val="22"/>
        </w:rPr>
        <w:lastRenderedPageBreak/>
        <w:t>organisation will have a specialised person in social integration and anti-discrimination measures on advising and assisting students or potential students with special needs in accessing education.</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SPECIAL NEEDS ADVANCED MODULES (Theoretical Special Needs and Disability Specific) </w:t>
      </w:r>
      <w:r>
        <w:rPr>
          <w:noProof/>
          <w:szCs w:val="22"/>
        </w:rPr>
        <w:t>ALSO NON-EXISTING</w:t>
      </w:r>
    </w:p>
    <w:p w:rsidR="001031C4" w:rsidRPr="004956B8" w:rsidRDefault="001031C4" w:rsidP="001031C4">
      <w:pPr>
        <w:tabs>
          <w:tab w:val="left" w:pos="3649"/>
          <w:tab w:val="left" w:pos="5349"/>
          <w:tab w:val="left" w:pos="7992"/>
          <w:tab w:val="left" w:pos="9409"/>
          <w:tab w:val="left" w:pos="10778"/>
        </w:tabs>
        <w:rPr>
          <w:noProof/>
          <w:szCs w:val="22"/>
        </w:rPr>
      </w:pP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Module 5 Meeting Needs - Cognition and Learning (including moderate and severe learning difficulties and Dyslexia)</w:t>
      </w:r>
    </w:p>
    <w:p w:rsidR="001031C4" w:rsidRPr="004956B8" w:rsidRDefault="001031C4" w:rsidP="001031C4">
      <w:pPr>
        <w:tabs>
          <w:tab w:val="left" w:pos="3649"/>
          <w:tab w:val="left" w:pos="5349"/>
          <w:tab w:val="left" w:pos="7992"/>
          <w:tab w:val="left" w:pos="9409"/>
          <w:tab w:val="left" w:pos="10778"/>
        </w:tabs>
        <w:rPr>
          <w:noProof/>
          <w:szCs w:val="22"/>
        </w:rPr>
      </w:pP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Module 6 - Meeting Needs - Communication and Interaction (which would include a focus on Autism as identified by the SWOT analysis)</w:t>
      </w:r>
    </w:p>
    <w:p w:rsidR="001031C4" w:rsidRPr="004956B8" w:rsidRDefault="001031C4" w:rsidP="001031C4">
      <w:pPr>
        <w:tabs>
          <w:tab w:val="left" w:pos="3649"/>
          <w:tab w:val="left" w:pos="5349"/>
          <w:tab w:val="left" w:pos="7992"/>
          <w:tab w:val="left" w:pos="9409"/>
          <w:tab w:val="left" w:pos="10778"/>
        </w:tabs>
        <w:rPr>
          <w:noProof/>
          <w:szCs w:val="22"/>
        </w:rPr>
      </w:pPr>
    </w:p>
    <w:p w:rsidR="001031C4" w:rsidRDefault="001031C4" w:rsidP="001031C4">
      <w:pPr>
        <w:tabs>
          <w:tab w:val="left" w:pos="3649"/>
          <w:tab w:val="left" w:pos="5349"/>
          <w:tab w:val="left" w:pos="7992"/>
          <w:tab w:val="left" w:pos="9409"/>
          <w:tab w:val="left" w:pos="10778"/>
        </w:tabs>
        <w:rPr>
          <w:noProof/>
          <w:szCs w:val="22"/>
        </w:rPr>
      </w:pPr>
      <w:r w:rsidRPr="004956B8">
        <w:rPr>
          <w:noProof/>
          <w:szCs w:val="22"/>
        </w:rPr>
        <w:t>Module 7 - Meeting Needs - Physical and Sensory Needs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Module 8 - Meeting Needs - Social, Emotional and Behavioural Difficulties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Here we will create ECTS modules using the EU Tuning method whilst Module 1 materials will be modified into the Common European Framework for later university, Governmental Bodies and NGO use. </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All participants in W</w:t>
      </w:r>
      <w:r w:rsidR="00E82284">
        <w:rPr>
          <w:noProof/>
          <w:szCs w:val="22"/>
        </w:rPr>
        <w:t xml:space="preserve">ork </w:t>
      </w:r>
      <w:r w:rsidRPr="004956B8">
        <w:rPr>
          <w:noProof/>
          <w:szCs w:val="22"/>
        </w:rPr>
        <w:t>P</w:t>
      </w:r>
      <w:r w:rsidR="00E82284">
        <w:rPr>
          <w:noProof/>
          <w:szCs w:val="22"/>
        </w:rPr>
        <w:t xml:space="preserve">ackage </w:t>
      </w:r>
      <w:r w:rsidRPr="004956B8">
        <w:rPr>
          <w:noProof/>
          <w:szCs w:val="22"/>
        </w:rPr>
        <w:t>1 will be required to have Upper Intermediate knowledge of English in order to be taught so</w:t>
      </w:r>
      <w:r>
        <w:rPr>
          <w:noProof/>
          <w:szCs w:val="22"/>
        </w:rPr>
        <w:t>cietal</w:t>
      </w:r>
      <w:r w:rsidRPr="004956B8">
        <w:rPr>
          <w:noProof/>
          <w:szCs w:val="22"/>
        </w:rPr>
        <w:t xml:space="preserve"> English course focusing on new vocabulary and necessary soft skills to achieve project goals.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The involvement of our key stakeholders emphasize that the project will ensure that both private and public sectors respect the rights of individuals with disabilities and involvement in society. Ministries of Education and Social Services, Teacher Trainer Educators (Universities) and their student teacher target group, Government &amp; State Employee and Policymakers and NGOs including volunteers, social workers and parents (Non-university teachers). By the end of the project knowledge, public awareness and commitment among duty bearers (teachers, authorities, politicians and parents) has increased and the communities have embraced more inclusive and proactive approaches to disabled persons' welfare. </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 xml:space="preserve">Primary and secondary schools in the PC countries will be systematically informed. Informing other non-Consortium universities (both public and private) and authorities (national, regional and local) and NGOs in the PCs and the ethical and practical range of benefits to all parties involved will enhance a sense of ownership and motivation during and after the project. </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The ACTIVITIES leading to the LFM outputs/outcomes are:</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DECIDE pedagogical training for Partner Country University, public administration government employee and NGO personnel, in EU and PC.</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Development of English for Special Needs materials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Preparation of 3 strand pilot DECIDE curriculum of above mentioned 8 Modules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Production of 3 strand training of 8 modules complying with ECTS modular standards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Pilot 1 - pilot of training modules</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Evaluation of pilot 1</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Pilot 2 – 2nd pilot of training modules (including Train the Trainer programme used to train Civil Servants and representatives of relevant NGOs by the University staff who received the special training in EU)</w:t>
      </w:r>
    </w:p>
    <w:p w:rsidR="001031C4" w:rsidRPr="004956B8" w:rsidRDefault="001031C4" w:rsidP="001031C4">
      <w:pPr>
        <w:tabs>
          <w:tab w:val="left" w:pos="3649"/>
          <w:tab w:val="left" w:pos="5349"/>
          <w:tab w:val="left" w:pos="7992"/>
          <w:tab w:val="left" w:pos="9409"/>
          <w:tab w:val="left" w:pos="10778"/>
        </w:tabs>
        <w:rPr>
          <w:noProof/>
          <w:szCs w:val="22"/>
        </w:rPr>
      </w:pPr>
    </w:p>
    <w:p w:rsidR="001031C4" w:rsidRPr="004956B8" w:rsidRDefault="001031C4" w:rsidP="001031C4">
      <w:pPr>
        <w:tabs>
          <w:tab w:val="left" w:pos="3649"/>
          <w:tab w:val="left" w:pos="5349"/>
          <w:tab w:val="left" w:pos="7992"/>
          <w:tab w:val="left" w:pos="9409"/>
          <w:tab w:val="left" w:pos="10778"/>
        </w:tabs>
        <w:rPr>
          <w:noProof/>
          <w:szCs w:val="22"/>
        </w:rPr>
      </w:pPr>
      <w:r w:rsidRPr="004956B8">
        <w:rPr>
          <w:noProof/>
          <w:szCs w:val="22"/>
        </w:rPr>
        <w:t>Evaluation of pilot 2 and downloadable access</w:t>
      </w:r>
    </w:p>
    <w:p w:rsidR="001031C4" w:rsidRPr="004956B8" w:rsidRDefault="001031C4" w:rsidP="001031C4">
      <w:pPr>
        <w:tabs>
          <w:tab w:val="left" w:pos="3649"/>
          <w:tab w:val="left" w:pos="5349"/>
          <w:tab w:val="left" w:pos="7992"/>
          <w:tab w:val="left" w:pos="9409"/>
          <w:tab w:val="left" w:pos="10778"/>
        </w:tabs>
        <w:rPr>
          <w:noProof/>
          <w:szCs w:val="22"/>
        </w:rPr>
      </w:pPr>
    </w:p>
    <w:p w:rsidR="001031C4" w:rsidRDefault="001031C4" w:rsidP="001031C4">
      <w:pPr>
        <w:rPr>
          <w:szCs w:val="22"/>
        </w:rPr>
      </w:pPr>
      <w:r w:rsidRPr="004956B8">
        <w:rPr>
          <w:noProof/>
          <w:szCs w:val="22"/>
        </w:rPr>
        <w:t>Formal integration of ECTS DECIDE modules by</w:t>
      </w:r>
      <w:r>
        <w:rPr>
          <w:noProof/>
          <w:szCs w:val="22"/>
        </w:rPr>
        <w:t xml:space="preserve"> </w:t>
      </w:r>
      <w:r w:rsidRPr="004956B8">
        <w:rPr>
          <w:noProof/>
          <w:szCs w:val="22"/>
        </w:rPr>
        <w:t>PC institutions, ie Universities, Public Administration institutes</w:t>
      </w:r>
      <w:r>
        <w:rPr>
          <w:noProof/>
          <w:szCs w:val="22"/>
        </w:rPr>
        <w:t xml:space="preserve"> </w:t>
      </w:r>
      <w:r w:rsidRPr="004956B8">
        <w:rPr>
          <w:noProof/>
          <w:szCs w:val="22"/>
        </w:rPr>
        <w:t>and NGOs following Ministry approval</w:t>
      </w:r>
      <w:r>
        <w:rPr>
          <w:noProof/>
          <w:szCs w:val="22"/>
        </w:rPr>
        <w:t xml:space="preserve">. </w:t>
      </w:r>
      <w:r w:rsidRPr="004956B8">
        <w:rPr>
          <w:noProof/>
          <w:szCs w:val="22"/>
        </w:rPr>
        <w:t xml:space="preserve"> </w:t>
      </w:r>
    </w:p>
    <w:p w:rsidR="007F76D8" w:rsidRPr="007F76D8" w:rsidRDefault="007F76D8" w:rsidP="00960D85">
      <w:pPr>
        <w:rPr>
          <w:rFonts w:ascii="Times New Roman" w:eastAsia="Times New Roman" w:hAnsi="Times New Roman" w:cs="Times New Roman"/>
          <w:sz w:val="24"/>
          <w:szCs w:val="24"/>
          <w:lang w:val="en-US" w:eastAsia="de-DE"/>
        </w:rPr>
      </w:pPr>
    </w:p>
    <w:p w:rsidR="006273F1" w:rsidRDefault="006273F1" w:rsidP="0045218A">
      <w:pPr>
        <w:rPr>
          <w:rFonts w:ascii="Times New Roman" w:hAnsi="Times New Roman"/>
          <w:b/>
          <w:sz w:val="32"/>
          <w:szCs w:val="32"/>
        </w:rPr>
      </w:pPr>
    </w:p>
    <w:p w:rsidR="006273F1" w:rsidRPr="006F5C21" w:rsidRDefault="006273F1" w:rsidP="0045218A">
      <w:pPr>
        <w:rPr>
          <w:rFonts w:ascii="Times New Roman" w:hAnsi="Times New Roman"/>
          <w:b/>
          <w:sz w:val="32"/>
          <w:szCs w:val="32"/>
        </w:rPr>
      </w:pPr>
    </w:p>
    <w:p w:rsidR="0045218A" w:rsidRDefault="0045218A" w:rsidP="00960D85">
      <w:pPr>
        <w:rPr>
          <w:rFonts w:cstheme="minorHAnsi"/>
          <w:b/>
        </w:rPr>
      </w:pPr>
    </w:p>
    <w:p w:rsidR="0045218A" w:rsidRDefault="0045218A" w:rsidP="00960D85">
      <w:pPr>
        <w:rPr>
          <w:rFonts w:cstheme="minorHAnsi"/>
          <w:b/>
        </w:rPr>
      </w:pPr>
    </w:p>
    <w:p w:rsidR="006273F1" w:rsidRPr="006273F1" w:rsidRDefault="0045218A" w:rsidP="006273F1">
      <w:pPr>
        <w:rPr>
          <w:rStyle w:val="IntensiveHervorhebung"/>
          <w:rFonts w:ascii="Calibri" w:hAnsi="Calibri" w:cs="Calibri"/>
          <w:b/>
          <w:bCs/>
          <w:i w:val="0"/>
          <w:color w:val="1F4E79"/>
          <w:sz w:val="32"/>
          <w:szCs w:val="32"/>
          <w:u w:val="single"/>
          <w:lang w:eastAsia="en-US"/>
        </w:rPr>
      </w:pPr>
      <w:r>
        <w:rPr>
          <w:rFonts w:cstheme="minorHAnsi"/>
          <w:b/>
        </w:rPr>
        <w:t xml:space="preserve">                      </w:t>
      </w:r>
      <w:r w:rsidR="006273F1" w:rsidRPr="006273F1">
        <w:rPr>
          <w:rStyle w:val="IntensiveHervorhebung"/>
          <w:rFonts w:ascii="Calibri" w:hAnsi="Calibri" w:cs="Calibri"/>
          <w:b/>
          <w:bCs/>
          <w:i w:val="0"/>
          <w:color w:val="1F4E79"/>
          <w:sz w:val="32"/>
          <w:szCs w:val="32"/>
          <w:u w:val="single"/>
          <w:lang w:eastAsia="en-US"/>
        </w:rPr>
        <w:t>DECIDE: Developing Services for Individuals with Disabilities</w:t>
      </w:r>
    </w:p>
    <w:p w:rsidR="006273F1" w:rsidRPr="006273F1" w:rsidRDefault="0045218A" w:rsidP="00960D85">
      <w:pPr>
        <w:rPr>
          <w:rFonts w:cstheme="minorHAnsi"/>
          <w:b/>
          <w:noProof/>
          <w:lang w:val="en-US" w:eastAsia="de-DE"/>
        </w:rPr>
      </w:pPr>
      <w:r>
        <w:rPr>
          <w:rFonts w:cstheme="minorHAnsi"/>
          <w:b/>
        </w:rPr>
        <w:t xml:space="preserve">              </w:t>
      </w:r>
    </w:p>
    <w:p w:rsidR="006273F1" w:rsidRPr="006273F1" w:rsidRDefault="006273F1" w:rsidP="00960D85">
      <w:pPr>
        <w:rPr>
          <w:rFonts w:cstheme="minorHAnsi"/>
          <w:b/>
          <w:noProof/>
          <w:lang w:val="en-US" w:eastAsia="de-DE"/>
        </w:rPr>
      </w:pPr>
      <w:r>
        <w:rPr>
          <w:rFonts w:cstheme="minorHAnsi"/>
          <w:b/>
          <w:noProof/>
          <w:lang w:val="en-US" w:eastAsia="de-DE"/>
        </w:rPr>
        <w:tab/>
      </w:r>
    </w:p>
    <w:p w:rsidR="0045218A" w:rsidRDefault="0045218A" w:rsidP="006273F1">
      <w:pPr>
        <w:ind w:left="1416" w:firstLine="708"/>
        <w:rPr>
          <w:rFonts w:cstheme="minorHAnsi"/>
          <w:b/>
        </w:rPr>
      </w:pPr>
      <w:r>
        <w:rPr>
          <w:rFonts w:cstheme="minorHAnsi"/>
          <w:b/>
          <w:noProof/>
          <w:lang w:val="de-DE" w:eastAsia="de-DE"/>
        </w:rPr>
        <w:drawing>
          <wp:inline distT="0" distB="0" distL="0" distR="0">
            <wp:extent cx="3276600" cy="43659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foto Dresden DECIDE MAR 2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7763" cy="4380786"/>
                    </a:xfrm>
                    <a:prstGeom prst="rect">
                      <a:avLst/>
                    </a:prstGeom>
                  </pic:spPr>
                </pic:pic>
              </a:graphicData>
            </a:graphic>
          </wp:inline>
        </w:drawing>
      </w:r>
    </w:p>
    <w:p w:rsidR="0045218A" w:rsidRDefault="0045218A" w:rsidP="00960D85">
      <w:pPr>
        <w:rPr>
          <w:rFonts w:cstheme="minorHAnsi"/>
          <w:b/>
        </w:rPr>
      </w:pPr>
    </w:p>
    <w:p w:rsidR="0045218A" w:rsidRDefault="0045218A" w:rsidP="00960D85">
      <w:pPr>
        <w:rPr>
          <w:rFonts w:cstheme="minorHAnsi"/>
          <w:b/>
        </w:rPr>
      </w:pPr>
    </w:p>
    <w:p w:rsidR="0045218A" w:rsidRPr="0045218A" w:rsidRDefault="0045218A" w:rsidP="0045218A">
      <w:pPr>
        <w:jc w:val="center"/>
        <w:rPr>
          <w:rFonts w:cstheme="minorHAnsi"/>
          <w:szCs w:val="22"/>
          <w:lang w:eastAsia="de-DE"/>
        </w:rPr>
      </w:pPr>
    </w:p>
    <w:p w:rsidR="0045218A" w:rsidRPr="006273F1" w:rsidRDefault="0045218A" w:rsidP="006273F1">
      <w:pPr>
        <w:jc w:val="center"/>
        <w:rPr>
          <w:rStyle w:val="IntensiveHervorhebung"/>
          <w:rFonts w:ascii="Calibri" w:hAnsi="Calibri" w:cs="Calibri"/>
          <w:b/>
          <w:bCs/>
          <w:i w:val="0"/>
          <w:color w:val="1F4E79"/>
          <w:sz w:val="32"/>
          <w:szCs w:val="32"/>
          <w:u w:val="single"/>
          <w:lang w:eastAsia="en-US"/>
        </w:rPr>
      </w:pPr>
      <w:r w:rsidRPr="006273F1">
        <w:rPr>
          <w:rStyle w:val="IntensiveHervorhebung"/>
          <w:rFonts w:ascii="Calibri" w:hAnsi="Calibri" w:cs="Calibri"/>
          <w:b/>
          <w:bCs/>
          <w:i w:val="0"/>
          <w:color w:val="1F4E79"/>
          <w:sz w:val="32"/>
          <w:szCs w:val="32"/>
          <w:u w:val="single"/>
          <w:lang w:eastAsia="en-US"/>
        </w:rPr>
        <w:t xml:space="preserve">English for Specific Purposes Training </w:t>
      </w:r>
      <w:r w:rsidR="006273F1">
        <w:rPr>
          <w:rStyle w:val="IntensiveHervorhebung"/>
          <w:rFonts w:ascii="Calibri" w:hAnsi="Calibri" w:cs="Calibri"/>
          <w:b/>
          <w:bCs/>
          <w:i w:val="0"/>
          <w:color w:val="1F4E79"/>
          <w:sz w:val="32"/>
          <w:szCs w:val="32"/>
          <w:u w:val="single"/>
          <w:lang w:eastAsia="en-US"/>
        </w:rPr>
        <w:t>at Dresden Technical University</w:t>
      </w:r>
    </w:p>
    <w:p w:rsidR="0045218A" w:rsidRDefault="0045218A" w:rsidP="006273F1">
      <w:pPr>
        <w:jc w:val="center"/>
        <w:rPr>
          <w:rFonts w:cstheme="minorHAnsi"/>
          <w:szCs w:val="22"/>
          <w:lang w:eastAsia="de-DE"/>
        </w:rPr>
      </w:pPr>
    </w:p>
    <w:p w:rsidR="0045218A" w:rsidRPr="006273F1" w:rsidRDefault="0045218A" w:rsidP="006273F1">
      <w:pPr>
        <w:jc w:val="center"/>
        <w:rPr>
          <w:rStyle w:val="IntensiveHervorhebung"/>
          <w:rFonts w:ascii="Calibri" w:hAnsi="Calibri" w:cs="Calibri"/>
          <w:b/>
          <w:bCs/>
          <w:i w:val="0"/>
          <w:color w:val="1F4E79"/>
          <w:sz w:val="32"/>
          <w:szCs w:val="32"/>
          <w:u w:val="single"/>
          <w:lang w:eastAsia="en-US"/>
        </w:rPr>
      </w:pPr>
      <w:r w:rsidRPr="006273F1">
        <w:rPr>
          <w:rStyle w:val="IntensiveHervorhebung"/>
          <w:rFonts w:ascii="Calibri" w:hAnsi="Calibri" w:cs="Calibri"/>
          <w:b/>
          <w:bCs/>
          <w:i w:val="0"/>
          <w:color w:val="1F4E79"/>
          <w:sz w:val="32"/>
          <w:szCs w:val="32"/>
          <w:u w:val="single"/>
          <w:lang w:eastAsia="en-US"/>
        </w:rPr>
        <w:t>The Centre of Applied Language</w:t>
      </w:r>
      <w:r w:rsidR="00E82284" w:rsidRPr="006273F1">
        <w:rPr>
          <w:rStyle w:val="IntensiveHervorhebung"/>
          <w:rFonts w:ascii="Calibri" w:hAnsi="Calibri" w:cs="Calibri"/>
          <w:b/>
          <w:bCs/>
          <w:i w:val="0"/>
          <w:color w:val="1F4E79"/>
          <w:sz w:val="32"/>
          <w:szCs w:val="32"/>
          <w:u w:val="single"/>
          <w:lang w:eastAsia="en-US"/>
        </w:rPr>
        <w:t>s</w:t>
      </w:r>
      <w:r w:rsidRPr="006273F1">
        <w:rPr>
          <w:rStyle w:val="IntensiveHervorhebung"/>
          <w:rFonts w:ascii="Calibri" w:hAnsi="Calibri" w:cs="Calibri"/>
          <w:b/>
          <w:bCs/>
          <w:i w:val="0"/>
          <w:color w:val="1F4E79"/>
          <w:sz w:val="32"/>
          <w:szCs w:val="32"/>
          <w:u w:val="single"/>
          <w:lang w:eastAsia="en-US"/>
        </w:rPr>
        <w:t xml:space="preserve"> and Culture (SLK)</w:t>
      </w:r>
    </w:p>
    <w:p w:rsidR="0045218A" w:rsidRPr="006273F1" w:rsidRDefault="0045218A" w:rsidP="006273F1">
      <w:pPr>
        <w:jc w:val="center"/>
        <w:rPr>
          <w:rStyle w:val="IntensiveHervorhebung"/>
          <w:rFonts w:ascii="Calibri" w:hAnsi="Calibri" w:cs="Calibri"/>
          <w:b/>
          <w:bCs/>
          <w:i w:val="0"/>
          <w:color w:val="1F4E79"/>
          <w:sz w:val="32"/>
          <w:szCs w:val="32"/>
          <w:u w:val="single"/>
          <w:lang w:eastAsia="en-US"/>
        </w:rPr>
      </w:pPr>
    </w:p>
    <w:p w:rsidR="0045218A" w:rsidRPr="006273F1" w:rsidRDefault="0045218A" w:rsidP="006273F1">
      <w:pPr>
        <w:jc w:val="center"/>
        <w:rPr>
          <w:rStyle w:val="IntensiveHervorhebung"/>
          <w:rFonts w:ascii="Calibri" w:hAnsi="Calibri" w:cs="Calibri"/>
          <w:b/>
          <w:bCs/>
          <w:i w:val="0"/>
          <w:color w:val="1F4E79"/>
          <w:sz w:val="32"/>
          <w:szCs w:val="32"/>
          <w:u w:val="single"/>
          <w:lang w:eastAsia="en-US"/>
        </w:rPr>
      </w:pPr>
      <w:r w:rsidRPr="006273F1">
        <w:rPr>
          <w:rStyle w:val="IntensiveHervorhebung"/>
          <w:rFonts w:ascii="Calibri" w:hAnsi="Calibri" w:cs="Calibri"/>
          <w:b/>
          <w:bCs/>
          <w:i w:val="0"/>
          <w:color w:val="1F4E79"/>
          <w:sz w:val="32"/>
          <w:szCs w:val="32"/>
          <w:u w:val="single"/>
          <w:lang w:eastAsia="en-US"/>
        </w:rPr>
        <w:t>March 23-29, 2019</w:t>
      </w:r>
    </w:p>
    <w:p w:rsidR="0045218A" w:rsidRDefault="0045218A" w:rsidP="00960D85">
      <w:pPr>
        <w:rPr>
          <w:rFonts w:cstheme="minorHAnsi"/>
          <w:b/>
        </w:rPr>
      </w:pPr>
    </w:p>
    <w:p w:rsidR="0045218A" w:rsidRDefault="0045218A" w:rsidP="00960D85">
      <w:pPr>
        <w:rPr>
          <w:rFonts w:cstheme="minorHAnsi"/>
          <w:b/>
        </w:rPr>
      </w:pPr>
    </w:p>
    <w:p w:rsidR="0045218A" w:rsidRDefault="0045218A" w:rsidP="00960D85">
      <w:pPr>
        <w:rPr>
          <w:rFonts w:cstheme="minorHAnsi"/>
          <w:b/>
        </w:rPr>
      </w:pPr>
    </w:p>
    <w:p w:rsidR="0045218A" w:rsidRDefault="0045218A" w:rsidP="00960D85">
      <w:pPr>
        <w:rPr>
          <w:rFonts w:cstheme="minorHAnsi"/>
          <w:b/>
        </w:rPr>
      </w:pPr>
    </w:p>
    <w:p w:rsidR="0045218A" w:rsidRDefault="0045218A" w:rsidP="00960D85">
      <w:pPr>
        <w:rPr>
          <w:rFonts w:cstheme="minorHAnsi"/>
          <w:b/>
        </w:rPr>
      </w:pPr>
    </w:p>
    <w:p w:rsidR="00E82284" w:rsidRDefault="00E82284" w:rsidP="00960D85">
      <w:pPr>
        <w:rPr>
          <w:rFonts w:cstheme="minorHAnsi"/>
          <w:b/>
        </w:rPr>
      </w:pPr>
    </w:p>
    <w:p w:rsidR="00E82284" w:rsidRDefault="00E82284" w:rsidP="00960D85">
      <w:pPr>
        <w:rPr>
          <w:rFonts w:cstheme="minorHAnsi"/>
          <w:b/>
        </w:rPr>
      </w:pPr>
    </w:p>
    <w:p w:rsidR="00E82284" w:rsidRDefault="00E82284" w:rsidP="00960D85">
      <w:pPr>
        <w:rPr>
          <w:rFonts w:cstheme="minorHAnsi"/>
          <w:b/>
        </w:rPr>
      </w:pPr>
    </w:p>
    <w:p w:rsidR="00E82284" w:rsidRDefault="00E82284" w:rsidP="00960D85">
      <w:pPr>
        <w:rPr>
          <w:rFonts w:cstheme="minorHAnsi"/>
          <w:b/>
        </w:rPr>
      </w:pPr>
    </w:p>
    <w:p w:rsidR="00E82284" w:rsidRDefault="00E82284" w:rsidP="00960D85">
      <w:pPr>
        <w:rPr>
          <w:rFonts w:cstheme="minorHAnsi"/>
          <w:b/>
        </w:rPr>
      </w:pPr>
    </w:p>
    <w:p w:rsidR="006273F1" w:rsidRDefault="006273F1" w:rsidP="00960D85">
      <w:pPr>
        <w:rPr>
          <w:rFonts w:cstheme="minorHAnsi"/>
          <w:b/>
        </w:rPr>
      </w:pPr>
    </w:p>
    <w:p w:rsidR="006273F1" w:rsidRDefault="006273F1" w:rsidP="00960D85">
      <w:pPr>
        <w:rPr>
          <w:rFonts w:cstheme="minorHAnsi"/>
          <w:b/>
        </w:rPr>
      </w:pPr>
    </w:p>
    <w:p w:rsidR="00E82284" w:rsidRDefault="00C30BE2" w:rsidP="00960D85">
      <w:pPr>
        <w:rPr>
          <w:rFonts w:cstheme="minorHAnsi"/>
        </w:rPr>
      </w:pPr>
      <w:r w:rsidRPr="00E82284">
        <w:rPr>
          <w:rStyle w:val="IntensiveHervorhebung"/>
          <w:rFonts w:ascii="Calibri" w:hAnsi="Calibri" w:cs="Calibri"/>
          <w:b/>
          <w:bCs/>
          <w:i w:val="0"/>
          <w:color w:val="1F4E79"/>
          <w:sz w:val="32"/>
          <w:szCs w:val="32"/>
          <w:u w:val="single"/>
          <w:lang w:eastAsia="en-US"/>
        </w:rPr>
        <w:t xml:space="preserve">Partner </w:t>
      </w:r>
      <w:r w:rsidR="00490BBA" w:rsidRPr="00E82284">
        <w:rPr>
          <w:rStyle w:val="IntensiveHervorhebung"/>
          <w:rFonts w:ascii="Calibri" w:hAnsi="Calibri" w:cs="Calibri"/>
          <w:b/>
          <w:bCs/>
          <w:i w:val="0"/>
          <w:color w:val="1F4E79"/>
          <w:sz w:val="32"/>
          <w:szCs w:val="32"/>
          <w:u w:val="single"/>
          <w:lang w:eastAsia="en-US"/>
        </w:rPr>
        <w:t>Universities and I</w:t>
      </w:r>
      <w:r w:rsidRPr="00E82284">
        <w:rPr>
          <w:rStyle w:val="IntensiveHervorhebung"/>
          <w:rFonts w:ascii="Calibri" w:hAnsi="Calibri" w:cs="Calibri"/>
          <w:b/>
          <w:bCs/>
          <w:i w:val="0"/>
          <w:color w:val="1F4E79"/>
          <w:sz w:val="32"/>
          <w:szCs w:val="32"/>
          <w:u w:val="single"/>
          <w:lang w:eastAsia="en-US"/>
        </w:rPr>
        <w:t>nstitutions in the DECIDE project</w:t>
      </w:r>
      <w:r w:rsidRPr="00F05066">
        <w:rPr>
          <w:rFonts w:cstheme="minorHAnsi"/>
        </w:rPr>
        <w:t xml:space="preserve"> </w:t>
      </w:r>
    </w:p>
    <w:p w:rsidR="002D3D79" w:rsidRPr="00F05066" w:rsidRDefault="002D3D79" w:rsidP="00960D85">
      <w:pPr>
        <w:rPr>
          <w:rFonts w:cstheme="minorHAnsi"/>
        </w:rPr>
      </w:pPr>
    </w:p>
    <w:p w:rsidR="00F05066" w:rsidRPr="006273F1" w:rsidRDefault="00F05066" w:rsidP="0031705B">
      <w:pPr>
        <w:pStyle w:val="StandardWeb"/>
        <w:rPr>
          <w:rStyle w:val="IntensiveHervorhebung"/>
          <w:rFonts w:ascii="Calibri" w:eastAsia="Calibri" w:hAnsi="Calibri" w:cs="Calibri"/>
          <w:b/>
          <w:bCs/>
          <w:i w:val="0"/>
          <w:color w:val="1F4E79"/>
          <w:sz w:val="32"/>
          <w:szCs w:val="32"/>
          <w:u w:val="single"/>
          <w:lang w:eastAsia="en-US"/>
        </w:rPr>
      </w:pPr>
      <w:r w:rsidRPr="006273F1">
        <w:rPr>
          <w:rStyle w:val="IntensiveHervorhebung"/>
          <w:rFonts w:ascii="Calibri" w:eastAsia="Calibri" w:hAnsi="Calibri" w:cs="Calibri"/>
          <w:b/>
          <w:i w:val="0"/>
          <w:color w:val="1F4E79"/>
          <w:sz w:val="32"/>
          <w:szCs w:val="32"/>
          <w:u w:val="single"/>
          <w:lang w:eastAsia="en-US"/>
        </w:rPr>
        <w:t xml:space="preserve">EU </w:t>
      </w:r>
      <w:r w:rsidR="006273F1">
        <w:rPr>
          <w:rStyle w:val="IntensiveHervorhebung"/>
          <w:rFonts w:ascii="Calibri" w:eastAsia="Calibri" w:hAnsi="Calibri" w:cs="Calibri"/>
          <w:b/>
          <w:i w:val="0"/>
          <w:color w:val="1F4E79"/>
          <w:sz w:val="32"/>
          <w:szCs w:val="32"/>
          <w:u w:val="single"/>
          <w:lang w:eastAsia="en-US"/>
        </w:rPr>
        <w:t>P</w:t>
      </w:r>
      <w:r w:rsidRPr="006273F1">
        <w:rPr>
          <w:rStyle w:val="IntensiveHervorhebung"/>
          <w:rFonts w:ascii="Calibri" w:eastAsia="Calibri" w:hAnsi="Calibri" w:cs="Calibri"/>
          <w:b/>
          <w:i w:val="0"/>
          <w:color w:val="1F4E79"/>
          <w:sz w:val="32"/>
          <w:szCs w:val="32"/>
          <w:u w:val="single"/>
          <w:lang w:eastAsia="en-US"/>
        </w:rPr>
        <w:t xml:space="preserve">roject </w:t>
      </w:r>
      <w:r w:rsidR="006273F1">
        <w:rPr>
          <w:rStyle w:val="IntensiveHervorhebung"/>
          <w:rFonts w:ascii="Calibri" w:eastAsia="Calibri" w:hAnsi="Calibri" w:cs="Calibri"/>
          <w:b/>
          <w:i w:val="0"/>
          <w:color w:val="1F4E79"/>
          <w:sz w:val="32"/>
          <w:szCs w:val="32"/>
          <w:u w:val="single"/>
          <w:lang w:eastAsia="en-US"/>
        </w:rPr>
        <w:t>C</w:t>
      </w:r>
      <w:r w:rsidRPr="006273F1">
        <w:rPr>
          <w:rStyle w:val="IntensiveHervorhebung"/>
          <w:rFonts w:ascii="Calibri" w:eastAsia="Calibri" w:hAnsi="Calibri" w:cs="Calibri"/>
          <w:b/>
          <w:i w:val="0"/>
          <w:color w:val="1F4E79"/>
          <w:sz w:val="32"/>
          <w:szCs w:val="32"/>
          <w:u w:val="single"/>
          <w:lang w:eastAsia="en-US"/>
        </w:rPr>
        <w:t>oordinator:</w:t>
      </w:r>
    </w:p>
    <w:p w:rsidR="00EA12B4" w:rsidRPr="002D3D79" w:rsidRDefault="0031705B" w:rsidP="00960D85">
      <w:pPr>
        <w:rPr>
          <w:szCs w:val="22"/>
        </w:rPr>
      </w:pPr>
      <w:r>
        <w:rPr>
          <w:rStyle w:val="st"/>
        </w:rPr>
        <w:t>P</w:t>
      </w:r>
      <w:r w:rsidR="00FE670B">
        <w:rPr>
          <w:rStyle w:val="st"/>
        </w:rPr>
        <w:t>1</w:t>
      </w:r>
      <w:r w:rsidR="00FE670B">
        <w:rPr>
          <w:rStyle w:val="st"/>
        </w:rPr>
        <w:tab/>
      </w:r>
      <w:r w:rsidR="00EA12B4" w:rsidRPr="002D3D79">
        <w:rPr>
          <w:rStyle w:val="st"/>
        </w:rPr>
        <w:t>Transilvania University of Brașov</w:t>
      </w:r>
      <w:r w:rsidR="00EA12B4" w:rsidRPr="002D3D79">
        <w:rPr>
          <w:szCs w:val="22"/>
        </w:rPr>
        <w:t xml:space="preserve">  (UTBV), Romania</w:t>
      </w:r>
      <w:r w:rsidR="00A848C8">
        <w:rPr>
          <w:szCs w:val="22"/>
        </w:rPr>
        <w:t xml:space="preserve"> [Lead Partner]</w:t>
      </w:r>
    </w:p>
    <w:p w:rsidR="002D3D79" w:rsidRPr="0031705B" w:rsidRDefault="002D3D79" w:rsidP="0039004C">
      <w:pPr>
        <w:rPr>
          <w:szCs w:val="22"/>
          <w:lang w:val="de-DE"/>
        </w:rPr>
      </w:pPr>
      <w:r>
        <w:rPr>
          <w:szCs w:val="22"/>
        </w:rPr>
        <w:tab/>
      </w:r>
      <w:r w:rsidR="00490BBA" w:rsidRPr="0031705B">
        <w:rPr>
          <w:szCs w:val="22"/>
          <w:lang w:val="de-DE"/>
        </w:rPr>
        <w:t xml:space="preserve">Professor </w:t>
      </w:r>
      <w:r w:rsidRPr="0031705B">
        <w:rPr>
          <w:szCs w:val="22"/>
          <w:lang w:val="de-DE"/>
        </w:rPr>
        <w:t xml:space="preserve">Dr Angela </w:t>
      </w:r>
      <w:r w:rsidRPr="0031705B">
        <w:rPr>
          <w:lang w:val="de-DE"/>
        </w:rPr>
        <w:t>Repanovici</w:t>
      </w:r>
    </w:p>
    <w:p w:rsidR="002D3D79" w:rsidRPr="0031705B" w:rsidRDefault="002D3D79" w:rsidP="00960D85">
      <w:pPr>
        <w:rPr>
          <w:szCs w:val="22"/>
          <w:lang w:val="de-DE"/>
        </w:rPr>
      </w:pPr>
    </w:p>
    <w:p w:rsidR="002D3D79" w:rsidRPr="00C86CC8" w:rsidRDefault="0017773A" w:rsidP="00FE670B">
      <w:pPr>
        <w:ind w:firstLine="708"/>
        <w:rPr>
          <w:rStyle w:val="Hyperlink"/>
          <w:rFonts w:cs="Arial"/>
          <w:szCs w:val="22"/>
          <w:lang w:val="de-DE"/>
        </w:rPr>
      </w:pPr>
      <w:hyperlink r:id="rId13" w:history="1">
        <w:r w:rsidR="00FE670B" w:rsidRPr="0031705B">
          <w:rPr>
            <w:rStyle w:val="Hyperlink"/>
            <w:rFonts w:cs="Arial"/>
            <w:szCs w:val="22"/>
            <w:lang w:val="de-DE"/>
          </w:rPr>
          <w:t>https://www.unitbv.ro/en/</w:t>
        </w:r>
      </w:hyperlink>
    </w:p>
    <w:p w:rsidR="0031705B" w:rsidRPr="00C86CC8" w:rsidRDefault="0031705B" w:rsidP="0031705B">
      <w:pPr>
        <w:rPr>
          <w:rStyle w:val="Hyperlink"/>
          <w:rFonts w:cs="Arial"/>
          <w:szCs w:val="22"/>
          <w:lang w:val="de-DE"/>
        </w:rPr>
      </w:pPr>
    </w:p>
    <w:p w:rsidR="00FE670B" w:rsidRPr="00E33E43" w:rsidRDefault="0031705B" w:rsidP="00E33E43">
      <w:pPr>
        <w:pStyle w:val="StandardWeb"/>
        <w:rPr>
          <w:rStyle w:val="Hyperlink"/>
          <w:rFonts w:ascii="Calibri" w:eastAsia="Calibri" w:hAnsi="Calibri" w:cs="Calibri"/>
          <w:b/>
          <w:iCs/>
          <w:color w:val="1F4E79"/>
          <w:sz w:val="32"/>
          <w:szCs w:val="32"/>
          <w:lang w:val="en-US" w:eastAsia="en-US"/>
        </w:rPr>
      </w:pPr>
      <w:r w:rsidRPr="00E33E43">
        <w:rPr>
          <w:rStyle w:val="IntensiveHervorhebung"/>
          <w:rFonts w:ascii="Calibri" w:eastAsia="Calibri" w:hAnsi="Calibri" w:cs="Calibri"/>
          <w:b/>
          <w:i w:val="0"/>
          <w:color w:val="1F4E79"/>
          <w:sz w:val="32"/>
          <w:szCs w:val="32"/>
          <w:u w:val="single"/>
          <w:lang w:val="en-US" w:eastAsia="en-US"/>
        </w:rPr>
        <w:t>O</w:t>
      </w:r>
      <w:r w:rsidR="006273F1" w:rsidRPr="00E33E43">
        <w:rPr>
          <w:rStyle w:val="IntensiveHervorhebung"/>
          <w:rFonts w:ascii="Calibri" w:eastAsia="Calibri" w:hAnsi="Calibri" w:cs="Calibri"/>
          <w:b/>
          <w:i w:val="0"/>
          <w:color w:val="1F4E79"/>
          <w:sz w:val="32"/>
          <w:szCs w:val="32"/>
          <w:u w:val="single"/>
          <w:lang w:val="en-US" w:eastAsia="en-US"/>
        </w:rPr>
        <w:t>t</w:t>
      </w:r>
      <w:r w:rsidRPr="00E33E43">
        <w:rPr>
          <w:rStyle w:val="IntensiveHervorhebung"/>
          <w:rFonts w:ascii="Calibri" w:eastAsia="Calibri" w:hAnsi="Calibri" w:cs="Calibri"/>
          <w:b/>
          <w:i w:val="0"/>
          <w:color w:val="1F4E79"/>
          <w:sz w:val="32"/>
          <w:szCs w:val="32"/>
          <w:u w:val="single"/>
          <w:lang w:val="en-US" w:eastAsia="en-US"/>
        </w:rPr>
        <w:t>her European Partners:</w:t>
      </w:r>
    </w:p>
    <w:p w:rsidR="002D3D79" w:rsidRPr="00FE670B" w:rsidRDefault="00FE670B" w:rsidP="002D3D79">
      <w:pPr>
        <w:rPr>
          <w:lang w:val="en-US"/>
        </w:rPr>
      </w:pPr>
      <w:r w:rsidRPr="00FE670B">
        <w:rPr>
          <w:lang w:val="en-US"/>
        </w:rPr>
        <w:t>P2</w:t>
      </w:r>
      <w:r w:rsidRPr="00FE670B">
        <w:rPr>
          <w:lang w:val="en-US"/>
        </w:rPr>
        <w:tab/>
      </w:r>
      <w:r w:rsidR="002D3D79" w:rsidRPr="00FE670B">
        <w:rPr>
          <w:lang w:val="en-US"/>
        </w:rPr>
        <w:t>Middlesex University (MDX)</w:t>
      </w:r>
      <w:r>
        <w:rPr>
          <w:lang w:val="en-US"/>
        </w:rPr>
        <w:t>, UK</w:t>
      </w:r>
    </w:p>
    <w:p w:rsidR="002D3D79" w:rsidRPr="00C86CC8" w:rsidRDefault="002D3D79" w:rsidP="00FE670B">
      <w:pPr>
        <w:ind w:firstLine="708"/>
        <w:rPr>
          <w:lang w:val="de-DE"/>
        </w:rPr>
      </w:pPr>
      <w:r w:rsidRPr="00C86CC8">
        <w:rPr>
          <w:lang w:val="de-DE"/>
        </w:rPr>
        <w:t>Dr Nawaz Khan</w:t>
      </w:r>
    </w:p>
    <w:p w:rsidR="002D3D79" w:rsidRPr="00C86CC8" w:rsidRDefault="002D3D79" w:rsidP="002D3D79">
      <w:pPr>
        <w:rPr>
          <w:lang w:val="de-DE"/>
        </w:rPr>
      </w:pPr>
    </w:p>
    <w:p w:rsidR="002D3D79" w:rsidRPr="00C86CC8" w:rsidRDefault="0017773A" w:rsidP="00FE670B">
      <w:pPr>
        <w:ind w:firstLine="708"/>
        <w:rPr>
          <w:lang w:val="de-DE"/>
        </w:rPr>
      </w:pPr>
      <w:hyperlink r:id="rId14" w:history="1">
        <w:r w:rsidR="002D3D79" w:rsidRPr="00C86CC8">
          <w:rPr>
            <w:rStyle w:val="Hyperlink"/>
            <w:rFonts w:cs="Arial"/>
            <w:lang w:val="de-DE"/>
          </w:rPr>
          <w:t>https://www.mdx.ac.uk/global-impact</w:t>
        </w:r>
      </w:hyperlink>
    </w:p>
    <w:p w:rsidR="00FE670B" w:rsidRPr="00C86CC8" w:rsidRDefault="00FE670B" w:rsidP="00FE670B">
      <w:pPr>
        <w:rPr>
          <w:lang w:val="de-DE"/>
        </w:rPr>
      </w:pPr>
    </w:p>
    <w:p w:rsidR="00FE670B" w:rsidRDefault="00FE670B" w:rsidP="00FE670B">
      <w:r>
        <w:t>P3</w:t>
      </w:r>
      <w:r>
        <w:tab/>
        <w:t>Limerick Institute of Technology (LIT), Ireland</w:t>
      </w:r>
    </w:p>
    <w:p w:rsidR="00FE670B" w:rsidRDefault="00490BBA" w:rsidP="00490BBA">
      <w:pPr>
        <w:rPr>
          <w:lang w:val="en-US"/>
        </w:rPr>
      </w:pPr>
      <w:r>
        <w:tab/>
        <w:t xml:space="preserve">Jerald Cavanagh </w:t>
      </w:r>
      <w:r w:rsidRPr="00780194">
        <w:rPr>
          <w:szCs w:val="22"/>
        </w:rPr>
        <w:t>BSc Econ, MSc, MA</w:t>
      </w:r>
      <w:r>
        <w:rPr>
          <w:lang w:val="en-US"/>
        </w:rPr>
        <w:t xml:space="preserve"> </w:t>
      </w:r>
    </w:p>
    <w:p w:rsidR="00490BBA" w:rsidRDefault="00490BBA" w:rsidP="00490BBA">
      <w:pPr>
        <w:rPr>
          <w:lang w:val="en-US"/>
        </w:rPr>
      </w:pPr>
    </w:p>
    <w:p w:rsidR="00490BBA" w:rsidRDefault="00490BBA" w:rsidP="00490BBA">
      <w:pPr>
        <w:rPr>
          <w:lang w:val="en-US"/>
        </w:rPr>
      </w:pPr>
      <w:r>
        <w:rPr>
          <w:lang w:val="en-US"/>
        </w:rPr>
        <w:tab/>
      </w:r>
      <w:hyperlink r:id="rId15" w:history="1">
        <w:r w:rsidRPr="00D849A9">
          <w:rPr>
            <w:rStyle w:val="Hyperlink"/>
            <w:rFonts w:cs="Arial"/>
            <w:lang w:val="en-US"/>
          </w:rPr>
          <w:t>http://www.lit.ie/LearningSupport/default.aspx</w:t>
        </w:r>
      </w:hyperlink>
    </w:p>
    <w:p w:rsidR="00490BBA" w:rsidRDefault="00490BBA" w:rsidP="00490BBA">
      <w:pPr>
        <w:rPr>
          <w:lang w:val="en-US"/>
        </w:rPr>
      </w:pPr>
    </w:p>
    <w:p w:rsidR="00490BBA" w:rsidRPr="0031705B" w:rsidRDefault="00490BBA" w:rsidP="00490BBA">
      <w:pPr>
        <w:rPr>
          <w:rFonts w:cstheme="minorHAnsi"/>
          <w:szCs w:val="22"/>
          <w:lang w:val="de-DE" w:eastAsia="de-DE"/>
        </w:rPr>
      </w:pPr>
      <w:r w:rsidRPr="0031705B">
        <w:rPr>
          <w:lang w:val="de-DE"/>
        </w:rPr>
        <w:t>P4</w:t>
      </w:r>
      <w:r w:rsidRPr="0031705B">
        <w:rPr>
          <w:lang w:val="de-DE"/>
        </w:rPr>
        <w:tab/>
      </w:r>
      <w:r w:rsidRPr="0031705B">
        <w:rPr>
          <w:rFonts w:cstheme="minorHAnsi"/>
          <w:szCs w:val="22"/>
          <w:lang w:val="de-DE" w:eastAsia="de-DE"/>
        </w:rPr>
        <w:t>Technische Universitat Dresden, Germany</w:t>
      </w:r>
    </w:p>
    <w:p w:rsidR="00490BBA" w:rsidRPr="0031705B" w:rsidRDefault="00490BBA" w:rsidP="00490BBA">
      <w:pPr>
        <w:rPr>
          <w:rFonts w:cstheme="minorHAnsi"/>
          <w:szCs w:val="22"/>
          <w:lang w:val="de-DE" w:eastAsia="de-DE"/>
        </w:rPr>
      </w:pPr>
      <w:r w:rsidRPr="0031705B">
        <w:rPr>
          <w:rFonts w:cstheme="minorHAnsi"/>
          <w:szCs w:val="22"/>
          <w:lang w:val="de-DE" w:eastAsia="de-DE"/>
        </w:rPr>
        <w:tab/>
        <w:t>Sven Riddell MA</w:t>
      </w:r>
    </w:p>
    <w:p w:rsidR="00490BBA" w:rsidRPr="0031705B" w:rsidRDefault="00490BBA" w:rsidP="00490BBA">
      <w:pPr>
        <w:rPr>
          <w:rFonts w:cstheme="minorHAnsi"/>
          <w:szCs w:val="22"/>
          <w:lang w:val="de-DE" w:eastAsia="de-DE"/>
        </w:rPr>
      </w:pPr>
    </w:p>
    <w:p w:rsidR="00490BBA" w:rsidRDefault="00490BBA" w:rsidP="00490BBA">
      <w:pPr>
        <w:rPr>
          <w:rStyle w:val="Hyperlink"/>
          <w:rFonts w:cstheme="minorHAnsi"/>
          <w:szCs w:val="22"/>
          <w:lang w:val="en-US" w:eastAsia="de-DE"/>
        </w:rPr>
      </w:pPr>
      <w:r w:rsidRPr="0031705B">
        <w:rPr>
          <w:rFonts w:cstheme="minorHAnsi"/>
          <w:szCs w:val="22"/>
          <w:lang w:val="de-DE" w:eastAsia="de-DE"/>
        </w:rPr>
        <w:tab/>
      </w:r>
      <w:hyperlink r:id="rId16" w:history="1">
        <w:r w:rsidRPr="00D849A9">
          <w:rPr>
            <w:rStyle w:val="Hyperlink"/>
            <w:rFonts w:cstheme="minorHAnsi"/>
            <w:szCs w:val="22"/>
            <w:lang w:val="en-US" w:eastAsia="de-DE"/>
          </w:rPr>
          <w:t>https://tu-dresden.de/</w:t>
        </w:r>
      </w:hyperlink>
    </w:p>
    <w:p w:rsidR="0039004C" w:rsidRDefault="0039004C" w:rsidP="00490BBA">
      <w:pPr>
        <w:rPr>
          <w:rStyle w:val="Hyperlink"/>
          <w:rFonts w:cstheme="minorHAnsi"/>
          <w:szCs w:val="22"/>
          <w:lang w:val="en-US" w:eastAsia="de-DE"/>
        </w:rPr>
      </w:pPr>
    </w:p>
    <w:p w:rsidR="0039004C" w:rsidRDefault="0039004C" w:rsidP="00490BBA">
      <w:pPr>
        <w:rPr>
          <w:rStyle w:val="Hyperlink"/>
          <w:rFonts w:cstheme="minorHAnsi"/>
          <w:color w:val="000000" w:themeColor="text1"/>
          <w:szCs w:val="22"/>
          <w:u w:val="none"/>
          <w:lang w:val="en-US" w:eastAsia="de-DE"/>
        </w:rPr>
      </w:pPr>
      <w:r w:rsidRPr="0039004C">
        <w:rPr>
          <w:rStyle w:val="Hyperlink"/>
          <w:rFonts w:cstheme="minorHAnsi"/>
          <w:color w:val="000000" w:themeColor="text1"/>
          <w:szCs w:val="22"/>
          <w:u w:val="none"/>
          <w:lang w:val="en-US" w:eastAsia="de-DE"/>
        </w:rPr>
        <w:t>P18</w:t>
      </w:r>
      <w:r>
        <w:rPr>
          <w:rStyle w:val="Hyperlink"/>
          <w:rFonts w:cstheme="minorHAnsi"/>
          <w:color w:val="000000" w:themeColor="text1"/>
          <w:szCs w:val="22"/>
          <w:u w:val="none"/>
          <w:lang w:val="en-US" w:eastAsia="de-DE"/>
        </w:rPr>
        <w:tab/>
        <w:t>University of Crete (UOT)</w:t>
      </w:r>
    </w:p>
    <w:p w:rsidR="0039004C" w:rsidRPr="00C86CC8" w:rsidRDefault="0039004C" w:rsidP="00490BBA">
      <w:pPr>
        <w:rPr>
          <w:rStyle w:val="Hyperlink"/>
          <w:rFonts w:cstheme="minorHAnsi"/>
          <w:color w:val="000000" w:themeColor="text1"/>
          <w:szCs w:val="22"/>
          <w:u w:val="none"/>
          <w:lang w:val="de-DE" w:eastAsia="de-DE"/>
        </w:rPr>
      </w:pPr>
      <w:r>
        <w:rPr>
          <w:rStyle w:val="Hyperlink"/>
          <w:rFonts w:cstheme="minorHAnsi"/>
          <w:color w:val="000000" w:themeColor="text1"/>
          <w:szCs w:val="22"/>
          <w:u w:val="none"/>
          <w:lang w:val="en-US" w:eastAsia="de-DE"/>
        </w:rPr>
        <w:tab/>
      </w:r>
      <w:r w:rsidRPr="00C86CC8">
        <w:rPr>
          <w:rStyle w:val="Hyperlink"/>
          <w:rFonts w:cstheme="minorHAnsi"/>
          <w:color w:val="000000" w:themeColor="text1"/>
          <w:szCs w:val="22"/>
          <w:u w:val="none"/>
          <w:lang w:val="de-DE" w:eastAsia="de-DE"/>
        </w:rPr>
        <w:t>Dr Manolis Koukourakis</w:t>
      </w:r>
    </w:p>
    <w:p w:rsidR="0039004C" w:rsidRPr="00C86CC8" w:rsidRDefault="0039004C" w:rsidP="00490BBA">
      <w:pPr>
        <w:rPr>
          <w:rStyle w:val="Hyperlink"/>
          <w:rFonts w:cstheme="minorHAnsi"/>
          <w:color w:val="000000" w:themeColor="text1"/>
          <w:szCs w:val="22"/>
          <w:u w:val="none"/>
          <w:lang w:val="de-DE" w:eastAsia="de-DE"/>
        </w:rPr>
      </w:pPr>
    </w:p>
    <w:p w:rsidR="0039004C" w:rsidRDefault="0039004C" w:rsidP="00490BBA">
      <w:pPr>
        <w:rPr>
          <w:rStyle w:val="Hyperlink"/>
          <w:rFonts w:cstheme="minorHAnsi"/>
          <w:color w:val="000000" w:themeColor="text1"/>
          <w:szCs w:val="22"/>
          <w:u w:val="none"/>
          <w:lang w:val="de-DE" w:eastAsia="de-DE"/>
        </w:rPr>
      </w:pPr>
      <w:r w:rsidRPr="00C86CC8">
        <w:rPr>
          <w:rStyle w:val="Hyperlink"/>
          <w:rFonts w:cstheme="minorHAnsi"/>
          <w:color w:val="000000" w:themeColor="text1"/>
          <w:szCs w:val="22"/>
          <w:u w:val="none"/>
          <w:lang w:val="de-DE" w:eastAsia="de-DE"/>
        </w:rPr>
        <w:tab/>
      </w:r>
      <w:hyperlink r:id="rId17" w:history="1">
        <w:r w:rsidR="006273F1" w:rsidRPr="00386A63">
          <w:rPr>
            <w:rStyle w:val="Hyperlink"/>
            <w:rFonts w:cstheme="minorHAnsi"/>
            <w:szCs w:val="22"/>
            <w:lang w:val="de-DE" w:eastAsia="de-DE"/>
          </w:rPr>
          <w:t>http://en.uoc.gr/</w:t>
        </w:r>
      </w:hyperlink>
    </w:p>
    <w:p w:rsidR="006273F1" w:rsidRPr="00C86CC8" w:rsidRDefault="006273F1" w:rsidP="00490BBA">
      <w:pPr>
        <w:rPr>
          <w:rStyle w:val="Hyperlink"/>
          <w:rFonts w:cstheme="minorHAnsi"/>
          <w:color w:val="000000" w:themeColor="text1"/>
          <w:szCs w:val="22"/>
          <w:u w:val="none"/>
          <w:lang w:val="de-DE" w:eastAsia="de-DE"/>
        </w:rPr>
      </w:pPr>
    </w:p>
    <w:p w:rsidR="00F977BE" w:rsidRPr="00C86CC8" w:rsidRDefault="00F977BE" w:rsidP="00490BBA">
      <w:pPr>
        <w:rPr>
          <w:rStyle w:val="Hyperlink"/>
          <w:rFonts w:cstheme="minorHAnsi"/>
          <w:szCs w:val="22"/>
          <w:lang w:val="de-DE" w:eastAsia="de-DE"/>
        </w:rPr>
      </w:pPr>
    </w:p>
    <w:p w:rsidR="00F977BE" w:rsidRPr="00E33E43" w:rsidRDefault="00F977BE" w:rsidP="00490BBA">
      <w:pPr>
        <w:rPr>
          <w:rStyle w:val="IntensiveHervorhebung"/>
          <w:rFonts w:ascii="Calibri" w:hAnsi="Calibri" w:cs="Calibri"/>
          <w:b/>
          <w:i w:val="0"/>
          <w:color w:val="1F4E79"/>
          <w:sz w:val="32"/>
          <w:szCs w:val="32"/>
          <w:u w:val="single"/>
          <w:lang w:val="en-US" w:eastAsia="en-US"/>
        </w:rPr>
      </w:pPr>
      <w:r w:rsidRPr="00E33E43">
        <w:rPr>
          <w:rStyle w:val="IntensiveHervorhebung"/>
          <w:rFonts w:ascii="Calibri" w:hAnsi="Calibri" w:cs="Calibri"/>
          <w:b/>
          <w:i w:val="0"/>
          <w:color w:val="1F4E79"/>
          <w:sz w:val="32"/>
          <w:szCs w:val="32"/>
          <w:u w:val="single"/>
          <w:lang w:val="en-US" w:eastAsia="en-US"/>
        </w:rPr>
        <w:t>Central Asian Partners:</w:t>
      </w:r>
    </w:p>
    <w:p w:rsidR="00490BBA" w:rsidRDefault="00490BBA" w:rsidP="00490BBA">
      <w:pPr>
        <w:rPr>
          <w:rFonts w:cstheme="minorHAnsi"/>
          <w:szCs w:val="22"/>
          <w:lang w:val="en-US" w:eastAsia="de-DE"/>
        </w:rPr>
      </w:pPr>
    </w:p>
    <w:p w:rsidR="00490BBA" w:rsidRDefault="00490BBA" w:rsidP="00490BBA">
      <w:r>
        <w:rPr>
          <w:rFonts w:cstheme="minorHAnsi"/>
          <w:szCs w:val="22"/>
          <w:lang w:val="en-US" w:eastAsia="de-DE"/>
        </w:rPr>
        <w:t>P5</w:t>
      </w:r>
      <w:r>
        <w:rPr>
          <w:rFonts w:cstheme="minorHAnsi"/>
          <w:szCs w:val="22"/>
          <w:lang w:val="en-US" w:eastAsia="de-DE"/>
        </w:rPr>
        <w:tab/>
      </w:r>
      <w:r>
        <w:t>Samarkand Institute of Economics and Service (SIES)</w:t>
      </w:r>
      <w:r w:rsidR="00A848C8">
        <w:t>, Uzbekistan</w:t>
      </w:r>
    </w:p>
    <w:p w:rsidR="00A848C8" w:rsidRPr="0031705B" w:rsidRDefault="00A848C8" w:rsidP="00490BBA">
      <w:pPr>
        <w:rPr>
          <w:szCs w:val="22"/>
          <w:lang w:val="de-DE"/>
        </w:rPr>
      </w:pPr>
      <w:r>
        <w:tab/>
      </w:r>
      <w:r w:rsidRPr="0031705B">
        <w:rPr>
          <w:szCs w:val="22"/>
          <w:lang w:val="de-DE"/>
        </w:rPr>
        <w:t>Ms. Dilbar Aslanova</w:t>
      </w:r>
    </w:p>
    <w:p w:rsidR="00A848C8" w:rsidRPr="0031705B" w:rsidRDefault="00A848C8" w:rsidP="00490BBA">
      <w:pPr>
        <w:rPr>
          <w:szCs w:val="22"/>
          <w:lang w:val="de-DE"/>
        </w:rPr>
      </w:pPr>
    </w:p>
    <w:p w:rsidR="00A848C8" w:rsidRPr="0031705B" w:rsidRDefault="00A848C8" w:rsidP="00490BBA">
      <w:pPr>
        <w:rPr>
          <w:szCs w:val="22"/>
          <w:lang w:val="de-DE"/>
        </w:rPr>
      </w:pPr>
      <w:r w:rsidRPr="0031705B">
        <w:rPr>
          <w:szCs w:val="22"/>
          <w:lang w:val="de-DE"/>
        </w:rPr>
        <w:tab/>
      </w:r>
      <w:hyperlink r:id="rId18" w:history="1">
        <w:r w:rsidRPr="0031705B">
          <w:rPr>
            <w:rStyle w:val="Hyperlink"/>
            <w:rFonts w:cs="Arial"/>
            <w:szCs w:val="22"/>
            <w:lang w:val="de-DE"/>
          </w:rPr>
          <w:t>http://sies.uz/en/malumot/view?id=131</w:t>
        </w:r>
      </w:hyperlink>
    </w:p>
    <w:p w:rsidR="00A848C8" w:rsidRPr="0031705B" w:rsidRDefault="00A848C8" w:rsidP="00490BBA">
      <w:pPr>
        <w:rPr>
          <w:szCs w:val="22"/>
          <w:lang w:val="de-DE"/>
        </w:rPr>
      </w:pPr>
    </w:p>
    <w:p w:rsidR="00A848C8" w:rsidRDefault="00A848C8" w:rsidP="00490BBA">
      <w:pPr>
        <w:rPr>
          <w:szCs w:val="22"/>
        </w:rPr>
      </w:pPr>
      <w:r>
        <w:rPr>
          <w:szCs w:val="22"/>
        </w:rPr>
        <w:t>P6</w:t>
      </w:r>
      <w:r>
        <w:rPr>
          <w:szCs w:val="22"/>
        </w:rPr>
        <w:tab/>
        <w:t>Tashkent University of Information Technologies (TUIT), Uzbekistan</w:t>
      </w:r>
    </w:p>
    <w:p w:rsidR="00A848C8" w:rsidRDefault="00A848C8" w:rsidP="00490BBA">
      <w:pPr>
        <w:rPr>
          <w:szCs w:val="22"/>
          <w:lang w:val="en-US"/>
        </w:rPr>
      </w:pPr>
      <w:r>
        <w:rPr>
          <w:szCs w:val="22"/>
        </w:rPr>
        <w:tab/>
        <w:t xml:space="preserve">Mr </w:t>
      </w:r>
      <w:r>
        <w:rPr>
          <w:szCs w:val="22"/>
          <w:lang w:val="en-US"/>
        </w:rPr>
        <w:t>Javlon Abdujalilov</w:t>
      </w:r>
    </w:p>
    <w:p w:rsidR="00A848C8" w:rsidRDefault="00A848C8" w:rsidP="00490BBA">
      <w:pPr>
        <w:rPr>
          <w:szCs w:val="22"/>
          <w:lang w:val="en-US"/>
        </w:rPr>
      </w:pPr>
    </w:p>
    <w:p w:rsidR="00A848C8" w:rsidRDefault="00A848C8" w:rsidP="00490BBA">
      <w:pPr>
        <w:rPr>
          <w:szCs w:val="22"/>
          <w:lang w:val="en-US"/>
        </w:rPr>
      </w:pPr>
      <w:r>
        <w:rPr>
          <w:szCs w:val="22"/>
          <w:lang w:val="en-US"/>
        </w:rPr>
        <w:tab/>
      </w:r>
      <w:hyperlink r:id="rId19" w:history="1">
        <w:r w:rsidRPr="00D849A9">
          <w:rPr>
            <w:rStyle w:val="Hyperlink"/>
            <w:rFonts w:cs="Arial"/>
            <w:szCs w:val="22"/>
            <w:lang w:val="en-US"/>
          </w:rPr>
          <w:t>https://tuit.uz/en</w:t>
        </w:r>
      </w:hyperlink>
    </w:p>
    <w:p w:rsidR="00A848C8" w:rsidRDefault="00A848C8" w:rsidP="00490BBA">
      <w:pPr>
        <w:rPr>
          <w:szCs w:val="22"/>
          <w:lang w:val="en-US"/>
        </w:rPr>
      </w:pPr>
    </w:p>
    <w:p w:rsidR="00A848C8" w:rsidRDefault="00A848C8" w:rsidP="00490BBA">
      <w:r>
        <w:rPr>
          <w:szCs w:val="22"/>
          <w:lang w:val="en-US"/>
        </w:rPr>
        <w:t>P7</w:t>
      </w:r>
      <w:r>
        <w:rPr>
          <w:szCs w:val="22"/>
          <w:lang w:val="en-US"/>
        </w:rPr>
        <w:tab/>
      </w:r>
      <w:r>
        <w:t>Karakalpak State University (KSU), Uzbekistan</w:t>
      </w:r>
    </w:p>
    <w:p w:rsidR="00A848C8" w:rsidRDefault="00A848C8" w:rsidP="00490BBA">
      <w:pPr>
        <w:rPr>
          <w:szCs w:val="22"/>
        </w:rPr>
      </w:pPr>
      <w:r>
        <w:tab/>
      </w:r>
      <w:r w:rsidR="00DA64C2">
        <w:rPr>
          <w:szCs w:val="22"/>
        </w:rPr>
        <w:t>Dr. Bakhitbay Paluanov</w:t>
      </w:r>
    </w:p>
    <w:p w:rsidR="00DA64C2" w:rsidRDefault="00DA64C2" w:rsidP="00490BBA">
      <w:pPr>
        <w:rPr>
          <w:szCs w:val="22"/>
        </w:rPr>
      </w:pPr>
    </w:p>
    <w:p w:rsidR="00DA64C2" w:rsidRDefault="00DA64C2" w:rsidP="00490BBA">
      <w:pPr>
        <w:rPr>
          <w:szCs w:val="22"/>
        </w:rPr>
      </w:pPr>
      <w:r>
        <w:rPr>
          <w:szCs w:val="22"/>
        </w:rPr>
        <w:tab/>
      </w:r>
      <w:hyperlink r:id="rId20" w:history="1">
        <w:r w:rsidRPr="00D849A9">
          <w:rPr>
            <w:rStyle w:val="Hyperlink"/>
            <w:rFonts w:cs="Arial"/>
            <w:szCs w:val="22"/>
          </w:rPr>
          <w:t>http://karsu.uz/en/</w:t>
        </w:r>
      </w:hyperlink>
    </w:p>
    <w:p w:rsidR="00DA64C2" w:rsidRDefault="00DA64C2" w:rsidP="00490BBA">
      <w:pPr>
        <w:rPr>
          <w:szCs w:val="22"/>
        </w:rPr>
      </w:pPr>
    </w:p>
    <w:p w:rsidR="00FE670B" w:rsidRPr="00C86CC8" w:rsidRDefault="00DA64C2" w:rsidP="002D3D79">
      <w:pPr>
        <w:rPr>
          <w:rFonts w:ascii="Arial" w:hAnsi="Arial"/>
          <w:sz w:val="20"/>
          <w:lang w:val="en-US"/>
        </w:rPr>
      </w:pPr>
      <w:r>
        <w:rPr>
          <w:szCs w:val="22"/>
        </w:rPr>
        <w:t>P8</w:t>
      </w:r>
      <w:r>
        <w:rPr>
          <w:szCs w:val="22"/>
        </w:rPr>
        <w:tab/>
      </w:r>
      <w:r w:rsidRPr="006362B7">
        <w:rPr>
          <w:rFonts w:ascii="Arial" w:hAnsi="Arial"/>
          <w:sz w:val="20"/>
          <w:lang w:val="en-US"/>
        </w:rPr>
        <w:t>MUSHTOQ KO’ZLAR Society of social mutual aid of disabled children</w:t>
      </w:r>
      <w:r>
        <w:rPr>
          <w:rFonts w:ascii="Arial" w:hAnsi="Arial"/>
          <w:sz w:val="20"/>
          <w:lang w:val="en-US"/>
        </w:rPr>
        <w:t xml:space="preserve"> (MUSHTOQ)</w:t>
      </w:r>
      <w:r>
        <w:rPr>
          <w:rFonts w:ascii="Arial" w:hAnsi="Arial"/>
          <w:sz w:val="20"/>
          <w:lang w:val="en-US"/>
        </w:rPr>
        <w:tab/>
      </w:r>
    </w:p>
    <w:p w:rsidR="00DA64C2" w:rsidRDefault="00DA64C2" w:rsidP="002D3D79">
      <w:pPr>
        <w:rPr>
          <w:szCs w:val="22"/>
          <w:lang w:val="en-US"/>
        </w:rPr>
      </w:pPr>
      <w:r>
        <w:rPr>
          <w:lang w:val="en-US"/>
        </w:rPr>
        <w:tab/>
      </w:r>
      <w:r>
        <w:rPr>
          <w:szCs w:val="22"/>
        </w:rPr>
        <w:t>Mr.</w:t>
      </w:r>
      <w:r w:rsidRPr="006362B7">
        <w:rPr>
          <w:szCs w:val="22"/>
          <w:lang w:val="en-US"/>
        </w:rPr>
        <w:t xml:space="preserve"> Umidjan Khashimov</w:t>
      </w:r>
    </w:p>
    <w:p w:rsidR="007F76D8" w:rsidRDefault="007F76D8" w:rsidP="002D3D79">
      <w:pPr>
        <w:rPr>
          <w:szCs w:val="22"/>
          <w:lang w:val="en-US"/>
        </w:rPr>
      </w:pPr>
    </w:p>
    <w:p w:rsidR="007F76D8" w:rsidRDefault="007F76D8" w:rsidP="002D3D79">
      <w:pPr>
        <w:rPr>
          <w:szCs w:val="22"/>
          <w:lang w:val="en-US"/>
        </w:rPr>
      </w:pPr>
      <w:r>
        <w:rPr>
          <w:szCs w:val="22"/>
          <w:lang w:val="en-US"/>
        </w:rPr>
        <w:t>P9</w:t>
      </w:r>
      <w:r>
        <w:rPr>
          <w:szCs w:val="22"/>
          <w:lang w:val="en-US"/>
        </w:rPr>
        <w:tab/>
        <w:t>Seifullin Kazakh Agrotechnical University (KATU), Kazakhstan</w:t>
      </w:r>
    </w:p>
    <w:p w:rsidR="00DA64C2" w:rsidRDefault="00DA64C2" w:rsidP="002D3D79">
      <w:pPr>
        <w:rPr>
          <w:szCs w:val="22"/>
          <w:lang w:val="en-US"/>
        </w:rPr>
      </w:pPr>
      <w:r>
        <w:rPr>
          <w:szCs w:val="22"/>
          <w:lang w:val="en-US"/>
        </w:rPr>
        <w:tab/>
      </w:r>
      <w:r w:rsidR="007F76D8">
        <w:rPr>
          <w:szCs w:val="22"/>
          <w:lang w:val="en-US"/>
        </w:rPr>
        <w:t>Mrs. Saltanat Meiramova</w:t>
      </w:r>
    </w:p>
    <w:p w:rsidR="007F76D8" w:rsidRDefault="007F76D8" w:rsidP="002D3D79">
      <w:pPr>
        <w:rPr>
          <w:szCs w:val="22"/>
          <w:lang w:val="en-US"/>
        </w:rPr>
      </w:pPr>
    </w:p>
    <w:p w:rsidR="007F76D8" w:rsidRDefault="007F76D8" w:rsidP="002D3D79">
      <w:pPr>
        <w:rPr>
          <w:szCs w:val="22"/>
          <w:lang w:val="en-US"/>
        </w:rPr>
      </w:pPr>
      <w:r>
        <w:rPr>
          <w:szCs w:val="22"/>
          <w:lang w:val="en-US"/>
        </w:rPr>
        <w:tab/>
      </w:r>
      <w:hyperlink r:id="rId21" w:history="1">
        <w:r w:rsidRPr="003826FD">
          <w:rPr>
            <w:rStyle w:val="Hyperlink"/>
            <w:rFonts w:cs="Arial"/>
            <w:szCs w:val="22"/>
            <w:lang w:val="en-US"/>
          </w:rPr>
          <w:t>http://iac.kz/en/sseifullin-kazakh-agro-technical-university</w:t>
        </w:r>
      </w:hyperlink>
    </w:p>
    <w:p w:rsidR="007F76D8" w:rsidRDefault="007F76D8" w:rsidP="002D3D79">
      <w:pPr>
        <w:rPr>
          <w:szCs w:val="22"/>
          <w:lang w:val="en-US"/>
        </w:rPr>
      </w:pPr>
    </w:p>
    <w:p w:rsidR="007F76D8" w:rsidRDefault="007F76D8" w:rsidP="002D3D79">
      <w:pPr>
        <w:rPr>
          <w:szCs w:val="22"/>
          <w:lang w:val="en-US"/>
        </w:rPr>
      </w:pPr>
      <w:r>
        <w:rPr>
          <w:szCs w:val="22"/>
          <w:lang w:val="en-US"/>
        </w:rPr>
        <w:t>P10</w:t>
      </w:r>
      <w:r>
        <w:rPr>
          <w:szCs w:val="22"/>
          <w:lang w:val="en-US"/>
        </w:rPr>
        <w:tab/>
        <w:t xml:space="preserve">Al </w:t>
      </w:r>
      <w:r w:rsidR="00F977BE">
        <w:rPr>
          <w:szCs w:val="22"/>
          <w:lang w:val="en-US"/>
        </w:rPr>
        <w:t>Farabi Kazakh National University (KazNU)</w:t>
      </w:r>
    </w:p>
    <w:p w:rsidR="00F977BE" w:rsidRDefault="00F977BE" w:rsidP="002D3D79">
      <w:pPr>
        <w:rPr>
          <w:szCs w:val="22"/>
          <w:lang w:val="en-US"/>
        </w:rPr>
      </w:pPr>
      <w:r>
        <w:rPr>
          <w:szCs w:val="22"/>
          <w:lang w:val="en-US"/>
        </w:rPr>
        <w:tab/>
        <w:t>Dr Gainel Ussatayeva</w:t>
      </w:r>
    </w:p>
    <w:p w:rsidR="00F977BE" w:rsidRDefault="00F977BE" w:rsidP="002D3D79">
      <w:pPr>
        <w:rPr>
          <w:szCs w:val="22"/>
          <w:lang w:val="en-US"/>
        </w:rPr>
      </w:pPr>
    </w:p>
    <w:p w:rsidR="00F977BE" w:rsidRDefault="00F977BE" w:rsidP="002D3D79">
      <w:pPr>
        <w:rPr>
          <w:szCs w:val="22"/>
          <w:lang w:val="en-US"/>
        </w:rPr>
      </w:pPr>
      <w:r>
        <w:rPr>
          <w:szCs w:val="22"/>
          <w:lang w:val="en-US"/>
        </w:rPr>
        <w:tab/>
      </w:r>
      <w:hyperlink r:id="rId22" w:history="1">
        <w:r w:rsidRPr="003826FD">
          <w:rPr>
            <w:rStyle w:val="Hyperlink"/>
            <w:rFonts w:cs="Arial"/>
            <w:szCs w:val="22"/>
            <w:lang w:val="en-US"/>
          </w:rPr>
          <w:t>http://iac.kz/en/sseifullin-kazakh-agro-technical-university</w:t>
        </w:r>
      </w:hyperlink>
    </w:p>
    <w:p w:rsidR="00F977BE" w:rsidRDefault="00F977BE" w:rsidP="002D3D79">
      <w:pPr>
        <w:rPr>
          <w:szCs w:val="22"/>
          <w:lang w:val="en-US"/>
        </w:rPr>
      </w:pPr>
    </w:p>
    <w:p w:rsidR="00F977BE" w:rsidRDefault="00F977BE" w:rsidP="00F977BE">
      <w:pPr>
        <w:ind w:left="705" w:hanging="705"/>
        <w:rPr>
          <w:szCs w:val="22"/>
          <w:lang w:val="en-US"/>
        </w:rPr>
      </w:pPr>
      <w:r>
        <w:rPr>
          <w:szCs w:val="22"/>
          <w:lang w:val="en-US"/>
        </w:rPr>
        <w:t>P11</w:t>
      </w:r>
      <w:r>
        <w:rPr>
          <w:szCs w:val="22"/>
          <w:lang w:val="en-US"/>
        </w:rPr>
        <w:tab/>
        <w:t>A. Baitursynov Kostanay State University of Ministry of Education and Science of the Republic of Kazakhstan (ABKSU), Kazakhstan</w:t>
      </w:r>
    </w:p>
    <w:p w:rsidR="00F977BE" w:rsidRDefault="00F977BE" w:rsidP="00F977BE">
      <w:pPr>
        <w:ind w:left="705" w:hanging="705"/>
        <w:rPr>
          <w:szCs w:val="22"/>
          <w:lang w:val="en-US"/>
        </w:rPr>
      </w:pPr>
      <w:r>
        <w:rPr>
          <w:szCs w:val="22"/>
          <w:lang w:val="en-US"/>
        </w:rPr>
        <w:tab/>
        <w:t>Prof. Shushanik Sarkisyan</w:t>
      </w:r>
    </w:p>
    <w:p w:rsidR="00F977BE" w:rsidRDefault="00F977BE" w:rsidP="00F977BE">
      <w:pPr>
        <w:ind w:left="705" w:hanging="705"/>
        <w:rPr>
          <w:szCs w:val="22"/>
          <w:lang w:val="en-US"/>
        </w:rPr>
      </w:pPr>
    </w:p>
    <w:p w:rsidR="00F977BE" w:rsidRDefault="00F977BE" w:rsidP="00F977BE">
      <w:pPr>
        <w:ind w:left="705" w:hanging="705"/>
        <w:rPr>
          <w:szCs w:val="22"/>
          <w:lang w:val="en-US"/>
        </w:rPr>
      </w:pPr>
      <w:r>
        <w:rPr>
          <w:szCs w:val="22"/>
          <w:lang w:val="en-US"/>
        </w:rPr>
        <w:tab/>
      </w:r>
      <w:hyperlink r:id="rId23" w:history="1">
        <w:r w:rsidRPr="003826FD">
          <w:rPr>
            <w:rStyle w:val="Hyperlink"/>
            <w:rFonts w:cs="Arial"/>
            <w:szCs w:val="22"/>
            <w:lang w:val="en-US"/>
          </w:rPr>
          <w:t>http://ksu.edu.kz/en/</w:t>
        </w:r>
      </w:hyperlink>
    </w:p>
    <w:p w:rsidR="00F977BE" w:rsidRDefault="00F977BE" w:rsidP="00F977BE">
      <w:pPr>
        <w:ind w:left="705" w:hanging="705"/>
        <w:rPr>
          <w:szCs w:val="22"/>
          <w:lang w:val="en-US"/>
        </w:rPr>
      </w:pPr>
    </w:p>
    <w:p w:rsidR="00F977BE" w:rsidRDefault="00F977BE" w:rsidP="00F977BE">
      <w:pPr>
        <w:ind w:left="705" w:hanging="705"/>
        <w:rPr>
          <w:szCs w:val="22"/>
          <w:lang w:val="en-US"/>
        </w:rPr>
      </w:pPr>
      <w:r>
        <w:rPr>
          <w:szCs w:val="22"/>
          <w:lang w:val="en-US"/>
        </w:rPr>
        <w:t>P12</w:t>
      </w:r>
      <w:r>
        <w:rPr>
          <w:szCs w:val="22"/>
          <w:lang w:val="en-US"/>
        </w:rPr>
        <w:tab/>
        <w:t xml:space="preserve">The </w:t>
      </w:r>
      <w:r w:rsidR="00C367EA">
        <w:rPr>
          <w:szCs w:val="22"/>
          <w:lang w:val="en-US"/>
        </w:rPr>
        <w:t xml:space="preserve"> </w:t>
      </w:r>
      <w:r>
        <w:rPr>
          <w:szCs w:val="22"/>
          <w:lang w:val="en-US"/>
        </w:rPr>
        <w:t>Academy of Public Administration under the President of the Republic of Kazakhstan (APRK)</w:t>
      </w:r>
    </w:p>
    <w:p w:rsidR="00F977BE" w:rsidRDefault="00F977BE" w:rsidP="00F977BE">
      <w:pPr>
        <w:ind w:left="705" w:hanging="705"/>
        <w:rPr>
          <w:szCs w:val="22"/>
          <w:lang w:val="en-US"/>
        </w:rPr>
      </w:pPr>
      <w:r>
        <w:rPr>
          <w:szCs w:val="22"/>
          <w:lang w:val="en-US"/>
        </w:rPr>
        <w:tab/>
        <w:t>Mr Aibek Sagynayev</w:t>
      </w:r>
    </w:p>
    <w:p w:rsidR="00F977BE" w:rsidRDefault="00F977BE" w:rsidP="00F977BE">
      <w:pPr>
        <w:ind w:left="705" w:hanging="705"/>
        <w:rPr>
          <w:szCs w:val="22"/>
          <w:lang w:val="en-US"/>
        </w:rPr>
      </w:pPr>
    </w:p>
    <w:p w:rsidR="00F977BE" w:rsidRDefault="00F977BE" w:rsidP="00F977BE">
      <w:pPr>
        <w:ind w:left="705" w:hanging="705"/>
        <w:rPr>
          <w:szCs w:val="22"/>
          <w:lang w:val="en-US"/>
        </w:rPr>
      </w:pPr>
      <w:r>
        <w:rPr>
          <w:szCs w:val="22"/>
          <w:lang w:val="en-US"/>
        </w:rPr>
        <w:tab/>
      </w:r>
      <w:hyperlink r:id="rId24" w:history="1">
        <w:r w:rsidRPr="003826FD">
          <w:rPr>
            <w:rStyle w:val="Hyperlink"/>
            <w:rFonts w:cs="Arial"/>
            <w:szCs w:val="22"/>
            <w:lang w:val="en-US"/>
          </w:rPr>
          <w:t>https://www.apa.kz/en/</w:t>
        </w:r>
      </w:hyperlink>
    </w:p>
    <w:p w:rsidR="00F977BE" w:rsidRDefault="00F977BE" w:rsidP="00F977BE">
      <w:pPr>
        <w:ind w:left="705" w:hanging="705"/>
        <w:rPr>
          <w:szCs w:val="22"/>
          <w:lang w:val="en-US"/>
        </w:rPr>
      </w:pPr>
    </w:p>
    <w:p w:rsidR="00F977BE" w:rsidRDefault="00F977BE" w:rsidP="00F977BE">
      <w:pPr>
        <w:ind w:left="705" w:hanging="705"/>
        <w:rPr>
          <w:szCs w:val="22"/>
          <w:lang w:val="en-US"/>
        </w:rPr>
      </w:pPr>
      <w:r>
        <w:rPr>
          <w:szCs w:val="22"/>
          <w:lang w:val="en-US"/>
        </w:rPr>
        <w:t>P13</w:t>
      </w:r>
      <w:r>
        <w:rPr>
          <w:szCs w:val="22"/>
          <w:lang w:val="en-US"/>
        </w:rPr>
        <w:tab/>
        <w:t>Affordable Education for Students with Disabilities (AESD)</w:t>
      </w:r>
    </w:p>
    <w:p w:rsidR="00F977BE" w:rsidRDefault="00F977BE" w:rsidP="00F977BE">
      <w:pPr>
        <w:ind w:left="705" w:hanging="705"/>
        <w:rPr>
          <w:szCs w:val="22"/>
          <w:lang w:val="en-US"/>
        </w:rPr>
      </w:pPr>
      <w:r>
        <w:rPr>
          <w:szCs w:val="22"/>
          <w:lang w:val="en-US"/>
        </w:rPr>
        <w:tab/>
        <w:t>Professor Sarkisyan Shushanik</w:t>
      </w:r>
    </w:p>
    <w:p w:rsidR="008A4CF5" w:rsidRDefault="008A4CF5" w:rsidP="00F977BE">
      <w:pPr>
        <w:ind w:left="705" w:hanging="705"/>
        <w:rPr>
          <w:szCs w:val="22"/>
          <w:lang w:val="en-US"/>
        </w:rPr>
      </w:pPr>
    </w:p>
    <w:p w:rsidR="008A4CF5" w:rsidRDefault="008A4CF5" w:rsidP="00F977BE">
      <w:pPr>
        <w:ind w:left="705" w:hanging="705"/>
        <w:rPr>
          <w:szCs w:val="22"/>
          <w:lang w:val="en-US"/>
        </w:rPr>
      </w:pPr>
      <w:r>
        <w:rPr>
          <w:szCs w:val="22"/>
          <w:lang w:val="en-US"/>
        </w:rPr>
        <w:t>P14</w:t>
      </w:r>
      <w:r>
        <w:rPr>
          <w:szCs w:val="22"/>
          <w:lang w:val="en-US"/>
        </w:rPr>
        <w:tab/>
        <w:t>Khujand State University namd after academician B. Gafurov (KSUBG), Tajikistan</w:t>
      </w:r>
    </w:p>
    <w:p w:rsidR="008A4CF5" w:rsidRDefault="008A4CF5" w:rsidP="00F977BE">
      <w:pPr>
        <w:ind w:left="705" w:hanging="705"/>
        <w:rPr>
          <w:szCs w:val="22"/>
          <w:lang w:val="en-US"/>
        </w:rPr>
      </w:pPr>
      <w:r>
        <w:rPr>
          <w:szCs w:val="22"/>
          <w:lang w:val="en-US"/>
        </w:rPr>
        <w:tab/>
        <w:t>Mr Jamshedjon Istamkulov</w:t>
      </w:r>
    </w:p>
    <w:p w:rsidR="008A4CF5" w:rsidRDefault="008A4CF5" w:rsidP="00F977BE">
      <w:pPr>
        <w:ind w:left="705" w:hanging="705"/>
        <w:rPr>
          <w:szCs w:val="22"/>
          <w:lang w:val="en-US"/>
        </w:rPr>
      </w:pPr>
    </w:p>
    <w:p w:rsidR="008A4CF5" w:rsidRDefault="008A4CF5" w:rsidP="00F977BE">
      <w:pPr>
        <w:ind w:left="705" w:hanging="705"/>
        <w:rPr>
          <w:szCs w:val="22"/>
          <w:lang w:val="en-US"/>
        </w:rPr>
      </w:pPr>
      <w:r>
        <w:rPr>
          <w:szCs w:val="22"/>
          <w:lang w:val="en-US"/>
        </w:rPr>
        <w:tab/>
      </w:r>
      <w:hyperlink r:id="rId25" w:history="1">
        <w:r w:rsidRPr="003826FD">
          <w:rPr>
            <w:rStyle w:val="Hyperlink"/>
            <w:rFonts w:cs="Arial"/>
            <w:szCs w:val="22"/>
            <w:lang w:val="en-US"/>
          </w:rPr>
          <w:t>http://hgu.tj/</w:t>
        </w:r>
      </w:hyperlink>
    </w:p>
    <w:p w:rsidR="008A4CF5" w:rsidRDefault="008A4CF5" w:rsidP="00F977BE">
      <w:pPr>
        <w:ind w:left="705" w:hanging="705"/>
        <w:rPr>
          <w:szCs w:val="22"/>
          <w:lang w:val="en-US"/>
        </w:rPr>
      </w:pPr>
    </w:p>
    <w:p w:rsidR="008A4CF5" w:rsidRDefault="008A4CF5" w:rsidP="00F977BE">
      <w:pPr>
        <w:ind w:left="705" w:hanging="705"/>
        <w:rPr>
          <w:szCs w:val="22"/>
          <w:lang w:val="en-US"/>
        </w:rPr>
      </w:pPr>
      <w:r>
        <w:rPr>
          <w:szCs w:val="22"/>
          <w:lang w:val="en-US"/>
        </w:rPr>
        <w:t>P15</w:t>
      </w:r>
      <w:r>
        <w:rPr>
          <w:szCs w:val="22"/>
          <w:lang w:val="en-US"/>
        </w:rPr>
        <w:tab/>
        <w:t>Kulob Institue of Technology and Innovation Management (KITEM)</w:t>
      </w:r>
      <w:r w:rsidR="0039004C">
        <w:rPr>
          <w:szCs w:val="22"/>
          <w:lang w:val="en-US"/>
        </w:rPr>
        <w:t>, Tajikistan</w:t>
      </w:r>
    </w:p>
    <w:p w:rsidR="008A4CF5" w:rsidRDefault="008A4CF5" w:rsidP="00F977BE">
      <w:pPr>
        <w:ind w:left="705" w:hanging="705"/>
        <w:rPr>
          <w:szCs w:val="22"/>
          <w:lang w:val="en-US"/>
        </w:rPr>
      </w:pPr>
      <w:r>
        <w:rPr>
          <w:szCs w:val="22"/>
          <w:lang w:val="en-US"/>
        </w:rPr>
        <w:tab/>
        <w:t>Mr Almossho Nabotovich</w:t>
      </w:r>
    </w:p>
    <w:p w:rsidR="008A4CF5" w:rsidRDefault="008A4CF5" w:rsidP="00F977BE">
      <w:pPr>
        <w:ind w:left="705" w:hanging="705"/>
        <w:rPr>
          <w:szCs w:val="22"/>
          <w:lang w:val="en-US"/>
        </w:rPr>
      </w:pPr>
    </w:p>
    <w:p w:rsidR="008A4CF5" w:rsidRDefault="008A4CF5" w:rsidP="00F977BE">
      <w:pPr>
        <w:ind w:left="705" w:hanging="705"/>
        <w:rPr>
          <w:szCs w:val="22"/>
          <w:lang w:val="en-US"/>
        </w:rPr>
      </w:pPr>
      <w:r>
        <w:rPr>
          <w:szCs w:val="22"/>
          <w:lang w:val="en-US"/>
        </w:rPr>
        <w:t>P16</w:t>
      </w:r>
      <w:r>
        <w:rPr>
          <w:szCs w:val="22"/>
          <w:lang w:val="en-US"/>
        </w:rPr>
        <w:tab/>
      </w:r>
      <w:r w:rsidR="0039004C">
        <w:rPr>
          <w:szCs w:val="22"/>
          <w:lang w:val="en-US"/>
        </w:rPr>
        <w:t>Public Administratin Institute under the President of Tadjikistan (PAI), Tadjikistan</w:t>
      </w:r>
    </w:p>
    <w:p w:rsidR="0039004C" w:rsidRDefault="0039004C" w:rsidP="00F977BE">
      <w:pPr>
        <w:ind w:left="705" w:hanging="705"/>
        <w:rPr>
          <w:szCs w:val="22"/>
          <w:lang w:val="en-US"/>
        </w:rPr>
      </w:pPr>
      <w:r>
        <w:rPr>
          <w:szCs w:val="22"/>
          <w:lang w:val="en-US"/>
        </w:rPr>
        <w:tab/>
        <w:t>Mr Abdulkholiqzoda Abdujkholik</w:t>
      </w:r>
    </w:p>
    <w:p w:rsidR="0039004C" w:rsidRDefault="0039004C" w:rsidP="00F977BE">
      <w:pPr>
        <w:ind w:left="705" w:hanging="705"/>
        <w:rPr>
          <w:szCs w:val="22"/>
          <w:lang w:val="en-US"/>
        </w:rPr>
      </w:pPr>
    </w:p>
    <w:p w:rsidR="0039004C" w:rsidRDefault="0039004C" w:rsidP="00F977BE">
      <w:pPr>
        <w:ind w:left="705" w:hanging="705"/>
        <w:rPr>
          <w:szCs w:val="22"/>
          <w:lang w:val="en-US"/>
        </w:rPr>
      </w:pPr>
      <w:r>
        <w:rPr>
          <w:szCs w:val="22"/>
          <w:lang w:val="en-US"/>
        </w:rPr>
        <w:tab/>
      </w:r>
      <w:r w:rsidRPr="0039004C">
        <w:rPr>
          <w:szCs w:val="22"/>
          <w:lang w:val="en-US"/>
        </w:rPr>
        <w:t>https://www.ucentralasia.org/Media/Item/787</w:t>
      </w:r>
    </w:p>
    <w:p w:rsidR="0039004C" w:rsidRDefault="0039004C" w:rsidP="00F977BE">
      <w:pPr>
        <w:ind w:left="705" w:hanging="705"/>
        <w:rPr>
          <w:szCs w:val="22"/>
          <w:lang w:val="en-US"/>
        </w:rPr>
      </w:pPr>
    </w:p>
    <w:p w:rsidR="0039004C" w:rsidRDefault="0039004C" w:rsidP="00F977BE">
      <w:pPr>
        <w:ind w:left="705" w:hanging="705"/>
        <w:rPr>
          <w:szCs w:val="22"/>
          <w:lang w:val="en-US"/>
        </w:rPr>
      </w:pPr>
      <w:r>
        <w:rPr>
          <w:szCs w:val="22"/>
          <w:lang w:val="en-US"/>
        </w:rPr>
        <w:t>P17</w:t>
      </w:r>
      <w:r>
        <w:rPr>
          <w:szCs w:val="22"/>
          <w:lang w:val="en-US"/>
        </w:rPr>
        <w:tab/>
        <w:t>Public Organisation of Parents with Children with Disabilities and Specialists (POPCD)</w:t>
      </w:r>
    </w:p>
    <w:p w:rsidR="0039004C" w:rsidRDefault="0039004C" w:rsidP="0039004C">
      <w:pPr>
        <w:rPr>
          <w:szCs w:val="22"/>
          <w:lang w:val="en-US"/>
        </w:rPr>
      </w:pPr>
      <w:r>
        <w:rPr>
          <w:szCs w:val="22"/>
          <w:lang w:val="en-US"/>
        </w:rPr>
        <w:tab/>
        <w:t>Kousysinoy Maksoudova</w:t>
      </w:r>
    </w:p>
    <w:p w:rsidR="0039004C" w:rsidRDefault="0039004C" w:rsidP="0039004C">
      <w:pPr>
        <w:rPr>
          <w:szCs w:val="22"/>
          <w:lang w:val="en-US"/>
        </w:rPr>
      </w:pPr>
    </w:p>
    <w:p w:rsidR="0039004C" w:rsidRDefault="0039004C" w:rsidP="0039004C">
      <w:pPr>
        <w:rPr>
          <w:szCs w:val="22"/>
          <w:lang w:val="en-US"/>
        </w:rPr>
      </w:pPr>
    </w:p>
    <w:p w:rsidR="0039004C" w:rsidRDefault="0039004C" w:rsidP="00F977BE">
      <w:pPr>
        <w:ind w:left="705" w:hanging="705"/>
        <w:rPr>
          <w:szCs w:val="22"/>
          <w:lang w:val="en-US"/>
        </w:rPr>
      </w:pPr>
    </w:p>
    <w:p w:rsidR="0039004C" w:rsidRDefault="0039004C" w:rsidP="00F977BE">
      <w:pPr>
        <w:ind w:left="705" w:hanging="705"/>
        <w:rPr>
          <w:szCs w:val="22"/>
          <w:lang w:val="en-US"/>
        </w:rPr>
      </w:pPr>
    </w:p>
    <w:p w:rsidR="0039004C" w:rsidRDefault="0039004C" w:rsidP="00F977BE">
      <w:pPr>
        <w:ind w:left="705" w:hanging="705"/>
        <w:rPr>
          <w:szCs w:val="22"/>
          <w:lang w:val="en-US"/>
        </w:rPr>
      </w:pPr>
    </w:p>
    <w:p w:rsidR="00F977BE" w:rsidRDefault="00F977BE" w:rsidP="00F977BE">
      <w:pPr>
        <w:ind w:left="705" w:hanging="705"/>
        <w:rPr>
          <w:szCs w:val="22"/>
          <w:lang w:val="en-US"/>
        </w:rPr>
      </w:pPr>
    </w:p>
    <w:p w:rsidR="00F977BE" w:rsidRDefault="00F977BE" w:rsidP="00F977BE">
      <w:pPr>
        <w:ind w:left="705" w:hanging="705"/>
        <w:rPr>
          <w:szCs w:val="22"/>
          <w:lang w:val="en-US"/>
        </w:rPr>
      </w:pPr>
      <w:r>
        <w:rPr>
          <w:szCs w:val="22"/>
          <w:lang w:val="en-US"/>
        </w:rPr>
        <w:tab/>
      </w:r>
    </w:p>
    <w:p w:rsidR="00F977BE" w:rsidRDefault="00F977BE" w:rsidP="002D3D79">
      <w:pPr>
        <w:rPr>
          <w:szCs w:val="22"/>
          <w:lang w:val="en-US"/>
        </w:rPr>
      </w:pPr>
    </w:p>
    <w:p w:rsidR="00F977BE" w:rsidRPr="00FE670B" w:rsidRDefault="00F977BE" w:rsidP="002D3D79">
      <w:pPr>
        <w:rPr>
          <w:lang w:val="en-US"/>
        </w:rPr>
      </w:pPr>
      <w:r>
        <w:rPr>
          <w:szCs w:val="22"/>
          <w:lang w:val="en-US"/>
        </w:rPr>
        <w:tab/>
      </w:r>
    </w:p>
    <w:p w:rsidR="002D3D79" w:rsidRPr="00FE670B" w:rsidRDefault="002D3D79" w:rsidP="002D3D79">
      <w:pPr>
        <w:rPr>
          <w:lang w:val="en-US"/>
        </w:rPr>
      </w:pPr>
    </w:p>
    <w:p w:rsidR="002D3D79" w:rsidRPr="00FE670B" w:rsidRDefault="002D3D79" w:rsidP="002D3D79">
      <w:pPr>
        <w:rPr>
          <w:lang w:val="en-US"/>
        </w:rPr>
      </w:pPr>
    </w:p>
    <w:p w:rsidR="00C30BE2" w:rsidRPr="00FE670B" w:rsidRDefault="00C30BE2" w:rsidP="00960D85">
      <w:pPr>
        <w:rPr>
          <w:lang w:val="en-US"/>
        </w:rPr>
      </w:pPr>
    </w:p>
    <w:sectPr w:rsidR="00C30BE2" w:rsidRPr="00FE670B">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3A" w:rsidRDefault="0017773A" w:rsidP="00E82284">
      <w:r>
        <w:separator/>
      </w:r>
    </w:p>
  </w:endnote>
  <w:endnote w:type="continuationSeparator" w:id="0">
    <w:p w:rsidR="0017773A" w:rsidRDefault="0017773A" w:rsidP="00E8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84" w:rsidRPr="00E82284" w:rsidRDefault="00E82284">
    <w:pPr>
      <w:pStyle w:val="Fuzeile"/>
      <w:rPr>
        <w:lang w:val="de-DE"/>
      </w:rPr>
    </w:pPr>
    <w:r w:rsidRPr="00E82284">
      <w:rPr>
        <w:lang w:val="de-DE"/>
      </w:rPr>
      <w:ptab w:relativeTo="margin" w:alignment="center" w:leader="none"/>
    </w:r>
    <w:r>
      <w:rPr>
        <w:lang w:val="de-DE"/>
      </w:rPr>
      <w:t>____________</w:t>
    </w:r>
    <w:r w:rsidRPr="00E82284">
      <w:rPr>
        <w:lang w:val="de-DE"/>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3A" w:rsidRDefault="0017773A" w:rsidP="00E82284">
      <w:r>
        <w:separator/>
      </w:r>
    </w:p>
  </w:footnote>
  <w:footnote w:type="continuationSeparator" w:id="0">
    <w:p w:rsidR="0017773A" w:rsidRDefault="0017773A" w:rsidP="00E82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73"/>
    <w:rsid w:val="000440DE"/>
    <w:rsid w:val="001031C4"/>
    <w:rsid w:val="00150450"/>
    <w:rsid w:val="0017773A"/>
    <w:rsid w:val="001E6729"/>
    <w:rsid w:val="001F34CD"/>
    <w:rsid w:val="002D3D79"/>
    <w:rsid w:val="002E369C"/>
    <w:rsid w:val="0031705B"/>
    <w:rsid w:val="00332263"/>
    <w:rsid w:val="0039004C"/>
    <w:rsid w:val="0045218A"/>
    <w:rsid w:val="00490BBA"/>
    <w:rsid w:val="00504AD5"/>
    <w:rsid w:val="005E7D5D"/>
    <w:rsid w:val="006273F1"/>
    <w:rsid w:val="00661953"/>
    <w:rsid w:val="006C57CF"/>
    <w:rsid w:val="007A635C"/>
    <w:rsid w:val="007F76D8"/>
    <w:rsid w:val="00817375"/>
    <w:rsid w:val="00825652"/>
    <w:rsid w:val="00836601"/>
    <w:rsid w:val="008A4CF5"/>
    <w:rsid w:val="008F5867"/>
    <w:rsid w:val="00960D85"/>
    <w:rsid w:val="00A848C8"/>
    <w:rsid w:val="00AE0818"/>
    <w:rsid w:val="00C30BE2"/>
    <w:rsid w:val="00C367EA"/>
    <w:rsid w:val="00C6213B"/>
    <w:rsid w:val="00C86CC8"/>
    <w:rsid w:val="00D95170"/>
    <w:rsid w:val="00DA64C2"/>
    <w:rsid w:val="00DE1548"/>
    <w:rsid w:val="00E031D0"/>
    <w:rsid w:val="00E33E43"/>
    <w:rsid w:val="00E56873"/>
    <w:rsid w:val="00E82284"/>
    <w:rsid w:val="00E8413C"/>
    <w:rsid w:val="00EA12B4"/>
    <w:rsid w:val="00F05066"/>
    <w:rsid w:val="00F977BE"/>
    <w:rsid w:val="00FC5FDC"/>
    <w:rsid w:val="00FE6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28D87-22C8-474B-BD34-8AF45ADA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D85"/>
    <w:pPr>
      <w:spacing w:after="0" w:line="240" w:lineRule="auto"/>
    </w:pPr>
    <w:rPr>
      <w:rFonts w:eastAsia="Calibri" w:cs="Arial"/>
      <w:szCs w:val="20"/>
      <w:lang w:val="en-GB" w:eastAsia="en-GB"/>
    </w:rPr>
  </w:style>
  <w:style w:type="paragraph" w:styleId="berschrift1">
    <w:name w:val="heading 1"/>
    <w:basedOn w:val="Standard"/>
    <w:next w:val="Standard"/>
    <w:link w:val="berschrift1Zchn"/>
    <w:uiPriority w:val="99"/>
    <w:qFormat/>
    <w:rsid w:val="00836601"/>
    <w:pPr>
      <w:keepNext/>
      <w:keepLines/>
      <w:spacing w:before="240" w:line="259" w:lineRule="auto"/>
      <w:outlineLvl w:val="0"/>
    </w:pPr>
    <w:rPr>
      <w:rFonts w:ascii="Calibri Light" w:hAnsi="Calibri Light" w:cs="Times New Roman"/>
      <w:color w:val="2E74B5"/>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EA12B4"/>
  </w:style>
  <w:style w:type="character" w:styleId="Hyperlink">
    <w:name w:val="Hyperlink"/>
    <w:uiPriority w:val="99"/>
    <w:rsid w:val="002D3D79"/>
    <w:rPr>
      <w:rFonts w:cs="Times New Roman"/>
      <w:color w:val="0000FF"/>
      <w:u w:val="single"/>
    </w:rPr>
  </w:style>
  <w:style w:type="paragraph" w:styleId="StandardWeb">
    <w:name w:val="Normal (Web)"/>
    <w:basedOn w:val="Standard"/>
    <w:uiPriority w:val="99"/>
    <w:unhideWhenUsed/>
    <w:rsid w:val="00F05066"/>
    <w:pPr>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F05066"/>
    <w:rPr>
      <w:b/>
      <w:bCs/>
    </w:rPr>
  </w:style>
  <w:style w:type="paragraph" w:styleId="Sprechblasentext">
    <w:name w:val="Balloon Text"/>
    <w:basedOn w:val="Standard"/>
    <w:link w:val="SprechblasentextZchn"/>
    <w:uiPriority w:val="99"/>
    <w:semiHidden/>
    <w:unhideWhenUsed/>
    <w:rsid w:val="00C367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7EA"/>
    <w:rPr>
      <w:rFonts w:ascii="Segoe UI" w:eastAsia="Calibri" w:hAnsi="Segoe UI" w:cs="Segoe UI"/>
      <w:sz w:val="18"/>
      <w:szCs w:val="18"/>
      <w:lang w:val="en-GB" w:eastAsia="en-GB"/>
    </w:rPr>
  </w:style>
  <w:style w:type="character" w:customStyle="1" w:styleId="berschrift1Zchn">
    <w:name w:val="Überschrift 1 Zchn"/>
    <w:basedOn w:val="Absatz-Standardschriftart"/>
    <w:link w:val="berschrift1"/>
    <w:uiPriority w:val="99"/>
    <w:rsid w:val="00836601"/>
    <w:rPr>
      <w:rFonts w:ascii="Calibri Light" w:eastAsia="Calibri" w:hAnsi="Calibri Light" w:cs="Times New Roman"/>
      <w:color w:val="2E74B5"/>
      <w:sz w:val="32"/>
      <w:szCs w:val="32"/>
      <w:lang w:val="en-US"/>
    </w:rPr>
  </w:style>
  <w:style w:type="character" w:styleId="IntensiveHervorhebung">
    <w:name w:val="Intense Emphasis"/>
    <w:uiPriority w:val="99"/>
    <w:qFormat/>
    <w:rsid w:val="00836601"/>
    <w:rPr>
      <w:i/>
      <w:iCs/>
      <w:color w:val="5B9BD5"/>
    </w:rPr>
  </w:style>
  <w:style w:type="paragraph" w:styleId="Kopfzeile">
    <w:name w:val="header"/>
    <w:basedOn w:val="Standard"/>
    <w:link w:val="KopfzeileZchn"/>
    <w:uiPriority w:val="99"/>
    <w:unhideWhenUsed/>
    <w:rsid w:val="00E82284"/>
    <w:pPr>
      <w:tabs>
        <w:tab w:val="center" w:pos="4536"/>
        <w:tab w:val="right" w:pos="9072"/>
      </w:tabs>
    </w:pPr>
  </w:style>
  <w:style w:type="character" w:customStyle="1" w:styleId="KopfzeileZchn">
    <w:name w:val="Kopfzeile Zchn"/>
    <w:basedOn w:val="Absatz-Standardschriftart"/>
    <w:link w:val="Kopfzeile"/>
    <w:uiPriority w:val="99"/>
    <w:rsid w:val="00E82284"/>
    <w:rPr>
      <w:rFonts w:eastAsia="Calibri" w:cs="Arial"/>
      <w:szCs w:val="20"/>
      <w:lang w:val="en-GB" w:eastAsia="en-GB"/>
    </w:rPr>
  </w:style>
  <w:style w:type="paragraph" w:styleId="Fuzeile">
    <w:name w:val="footer"/>
    <w:basedOn w:val="Standard"/>
    <w:link w:val="FuzeileZchn"/>
    <w:uiPriority w:val="99"/>
    <w:unhideWhenUsed/>
    <w:rsid w:val="00E82284"/>
    <w:pPr>
      <w:tabs>
        <w:tab w:val="center" w:pos="4536"/>
        <w:tab w:val="right" w:pos="9072"/>
      </w:tabs>
    </w:pPr>
  </w:style>
  <w:style w:type="character" w:customStyle="1" w:styleId="FuzeileZchn">
    <w:name w:val="Fußzeile Zchn"/>
    <w:basedOn w:val="Absatz-Standardschriftart"/>
    <w:link w:val="Fuzeile"/>
    <w:uiPriority w:val="99"/>
    <w:rsid w:val="00E82284"/>
    <w:rPr>
      <w:rFonts w:eastAsia="Calibri" w:cs="Arial"/>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4957">
      <w:bodyDiv w:val="1"/>
      <w:marLeft w:val="0"/>
      <w:marRight w:val="0"/>
      <w:marTop w:val="0"/>
      <w:marBottom w:val="0"/>
      <w:divBdr>
        <w:top w:val="none" w:sz="0" w:space="0" w:color="auto"/>
        <w:left w:val="none" w:sz="0" w:space="0" w:color="auto"/>
        <w:bottom w:val="none" w:sz="0" w:space="0" w:color="auto"/>
        <w:right w:val="none" w:sz="0" w:space="0" w:color="auto"/>
      </w:divBdr>
    </w:div>
    <w:div w:id="1278370370">
      <w:bodyDiv w:val="1"/>
      <w:marLeft w:val="0"/>
      <w:marRight w:val="0"/>
      <w:marTop w:val="0"/>
      <w:marBottom w:val="0"/>
      <w:divBdr>
        <w:top w:val="none" w:sz="0" w:space="0" w:color="auto"/>
        <w:left w:val="none" w:sz="0" w:space="0" w:color="auto"/>
        <w:bottom w:val="none" w:sz="0" w:space="0" w:color="auto"/>
        <w:right w:val="none" w:sz="0" w:space="0" w:color="auto"/>
      </w:divBdr>
    </w:div>
    <w:div w:id="17834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tbv.ro/en/" TargetMode="External"/><Relationship Id="rId18" Type="http://schemas.openxmlformats.org/officeDocument/2006/relationships/hyperlink" Target="http://sies.uz/en/malumot/view?id=13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ac.kz/en/sseifullin-kazakh-agro-technical-university" TargetMode="Externa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hyperlink" Target="http://en.uoc.gr/" TargetMode="External"/><Relationship Id="rId25" Type="http://schemas.openxmlformats.org/officeDocument/2006/relationships/hyperlink" Target="http://hgu.tj/" TargetMode="External"/><Relationship Id="rId2" Type="http://schemas.openxmlformats.org/officeDocument/2006/relationships/styles" Target="styles.xml"/><Relationship Id="rId16" Type="http://schemas.openxmlformats.org/officeDocument/2006/relationships/hyperlink" Target="https://tu-dresden.de/" TargetMode="External"/><Relationship Id="rId20" Type="http://schemas.openxmlformats.org/officeDocument/2006/relationships/hyperlink" Target="http://karsu.uz/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cideproject.ie/" TargetMode="External"/><Relationship Id="rId24" Type="http://schemas.openxmlformats.org/officeDocument/2006/relationships/hyperlink" Target="https://www.apa.kz/en/" TargetMode="External"/><Relationship Id="rId5" Type="http://schemas.openxmlformats.org/officeDocument/2006/relationships/footnotes" Target="footnotes.xml"/><Relationship Id="rId15" Type="http://schemas.openxmlformats.org/officeDocument/2006/relationships/hyperlink" Target="http://www.lit.ie/LearningSupport/default.aspx" TargetMode="External"/><Relationship Id="rId23" Type="http://schemas.openxmlformats.org/officeDocument/2006/relationships/hyperlink" Target="http://ksu.edu.kz/en/" TargetMode="External"/><Relationship Id="rId28" Type="http://schemas.openxmlformats.org/officeDocument/2006/relationships/theme" Target="theme/theme1.xml"/><Relationship Id="rId10" Type="http://schemas.openxmlformats.org/officeDocument/2006/relationships/hyperlink" Target="https://tu-dresden.de/tu-dresden/chancengleichheit/?set_language=en" TargetMode="External"/><Relationship Id="rId19" Type="http://schemas.openxmlformats.org/officeDocument/2006/relationships/hyperlink" Target="https://tuit.uz/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mdx.ac.uk/global-impact" TargetMode="External"/><Relationship Id="rId22" Type="http://schemas.openxmlformats.org/officeDocument/2006/relationships/hyperlink" Target="http://iac.kz/en/sseifullin-kazakh-agro-technical-university"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D2CE9-EF64-4F3C-A652-78B87274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1902</Words>
  <Characters>11986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TU Dresden - ZIH</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Riddell</dc:creator>
  <cp:keywords/>
  <dc:description/>
  <cp:lastModifiedBy>Jeannette Morbitzer</cp:lastModifiedBy>
  <cp:revision>2</cp:revision>
  <cp:lastPrinted>2019-05-20T19:27:00Z</cp:lastPrinted>
  <dcterms:created xsi:type="dcterms:W3CDTF">2019-07-12T06:02:00Z</dcterms:created>
  <dcterms:modified xsi:type="dcterms:W3CDTF">2019-07-12T06:02:00Z</dcterms:modified>
</cp:coreProperties>
</file>