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A1FD" w14:textId="652319EA" w:rsidR="00A748E6" w:rsidRPr="00A748E6" w:rsidRDefault="00872293" w:rsidP="00A748E6">
      <w:pPr>
        <w:pStyle w:val="berschrift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Erfolgreiche Anpassung der Arbeitsstrukturen und -abläufe in der Pandemiesituation</w:t>
      </w:r>
      <w:r w:rsidR="00A748E6">
        <w:rPr>
          <w:rFonts w:ascii="Arial" w:hAnsi="Arial" w:cs="Arial"/>
        </w:rPr>
        <w:t xml:space="preserve"> (Checkliste)</w:t>
      </w:r>
    </w:p>
    <w:p w14:paraId="56106A65" w14:textId="77777777" w:rsidR="0027046C" w:rsidRDefault="002227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 Sie bei der erfolgreichen Anpassung der Arbeitsstrukturen und -abläufe in Ihrem Unternehmen</w:t>
      </w:r>
      <w:r w:rsidR="008A04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8A04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Ihrer Organisation zur </w:t>
      </w:r>
      <w:r w:rsidR="008A0432">
        <w:rPr>
          <w:rFonts w:ascii="Arial" w:hAnsi="Arial" w:cs="Arial"/>
          <w:sz w:val="20"/>
        </w:rPr>
        <w:t>Bewältigung</w:t>
      </w:r>
      <w:r>
        <w:rPr>
          <w:rFonts w:ascii="Arial" w:hAnsi="Arial" w:cs="Arial"/>
          <w:sz w:val="20"/>
        </w:rPr>
        <w:t xml:space="preserve"> der COVID-19 Pandemie zu unterstützen, stellen wir Ihnen eine Checkliste bereit. Sie greift die von den Interviewpartner</w:t>
      </w:r>
      <w:r w:rsidR="008A0432">
        <w:rPr>
          <w:rFonts w:ascii="Arial" w:hAnsi="Arial" w:cs="Arial"/>
          <w:sz w:val="20"/>
        </w:rPr>
        <w:t>Innen</w:t>
      </w:r>
      <w:r>
        <w:rPr>
          <w:rFonts w:ascii="Arial" w:hAnsi="Arial" w:cs="Arial"/>
          <w:sz w:val="20"/>
        </w:rPr>
        <w:t xml:space="preserve"> genannten Faktoren für eine erfolgsversprechende Umsetzung von Maßnahmen auf und stellt diese strukturiert in vier Themenbereiche</w:t>
      </w:r>
      <w:r w:rsidR="008A0432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bereit. </w:t>
      </w:r>
    </w:p>
    <w:p w14:paraId="4ECE983B" w14:textId="77777777" w:rsidR="0027046C" w:rsidRDefault="002227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Wir empfehlen, diese Checkliste zur Selbsteinstufung der unternehmens- bzw. organisationsspezifischen Bedingungen zu </w:t>
      </w:r>
      <w:r w:rsidR="008A0432">
        <w:rPr>
          <w:rFonts w:ascii="Arial" w:hAnsi="Arial" w:cs="Arial"/>
          <w:sz w:val="20"/>
        </w:rPr>
        <w:t>nutzen</w:t>
      </w:r>
      <w:r>
        <w:rPr>
          <w:rFonts w:ascii="Arial" w:hAnsi="Arial" w:cs="Arial"/>
          <w:sz w:val="20"/>
        </w:rPr>
        <w:t xml:space="preserve"> und anhand der Ampelfarben eine Bewertung vorzunehmen. Damit können die besonders zu beachtenden Sachverhalte sichtbar gemacht und bei der weiteren Maßnahmenentwicklung und -umsetzung ber</w:t>
      </w:r>
      <w:bookmarkStart w:id="0" w:name="_GoBack"/>
      <w:bookmarkEnd w:id="0"/>
      <w:r>
        <w:rPr>
          <w:rFonts w:ascii="Arial" w:hAnsi="Arial" w:cs="Arial"/>
          <w:sz w:val="20"/>
        </w:rPr>
        <w:t>ücksichtigt werden.</w:t>
      </w:r>
    </w:p>
    <w:p w14:paraId="66B2ECB8" w14:textId="77777777" w:rsidR="0027046C" w:rsidRDefault="00222723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Maßnahmenumsetzung</w:t>
      </w:r>
    </w:p>
    <w:tbl>
      <w:tblPr>
        <w:tblStyle w:val="Tabellenraster"/>
        <w:tblW w:w="5003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1"/>
        <w:gridCol w:w="2836"/>
        <w:gridCol w:w="1130"/>
      </w:tblGrid>
      <w:tr w:rsidR="0027046C" w14:paraId="1887C266" w14:textId="77777777">
        <w:tc>
          <w:tcPr>
            <w:tcW w:w="2813" w:type="pct"/>
          </w:tcPr>
          <w:p w14:paraId="79302E26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pct"/>
            <w:vAlign w:val="center"/>
          </w:tcPr>
          <w:p w14:paraId="486769CE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Verbale Einschätzung</w:t>
            </w:r>
          </w:p>
        </w:tc>
        <w:tc>
          <w:tcPr>
            <w:tcW w:w="623" w:type="pct"/>
            <w:vAlign w:val="center"/>
          </w:tcPr>
          <w:p w14:paraId="4252E35F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  <w:r>
              <w:rPr>
                <w:rStyle w:val="Funotenzeichen"/>
                <w:rFonts w:ascii="Arial" w:hAnsi="Arial" w:cs="Arial"/>
                <w:sz w:val="20"/>
              </w:rPr>
              <w:footnoteReference w:id="1"/>
            </w:r>
          </w:p>
          <w:p w14:paraId="00E97DB2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382F743B" wp14:editId="0F8AD26E">
                      <wp:extent cx="108000" cy="108000"/>
                      <wp:effectExtent l="0" t="0" r="6350" b="6350"/>
                      <wp:docPr id="2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shape id="shape 1" o:spid="_x0000_s1" o:spt="3" style="mso-wrap-distance-left:0.0pt;mso-wrap-distance-top:0.0pt;mso-wrap-distance-right:0.0pt;mso-wrap-distance-bottom:0.0pt;width:8.5pt;height:8.5pt;" coordsize="100000,100000" path="" fillcolor="#70AD47" stroked="f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5BB77504" wp14:editId="2810F6FE">
                      <wp:extent cx="108000" cy="108000"/>
                      <wp:effectExtent l="0" t="0" r="6350" b="6350"/>
                      <wp:docPr id="3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shape id="shape 2" o:spid="_x0000_s2" o:spt="3" style="mso-wrap-distance-left:0.0pt;mso-wrap-distance-top:0.0pt;mso-wrap-distance-right:0.0pt;mso-wrap-distance-bottom:0.0pt;width:8.5pt;height:8.5pt;" coordsize="100000,100000" path="" fillcolor="#FFFF00" stroked="f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DE02E43" wp14:editId="0C5B9ED4">
                      <wp:extent cx="108000" cy="108000"/>
                      <wp:effectExtent l="0" t="0" r="6350" b="6350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shape id="shape 3" o:spid="_x0000_s3" o:spt="3" style="mso-wrap-distance-left:0.0pt;mso-wrap-distance-top:0.0pt;mso-wrap-distance-right:0.0pt;mso-wrap-distance-bottom:0.0pt;width:8.5pt;height:8.5pt;" coordsize="100000,100000" path="" fillcolor="#FF0000" stroked="f" strokeweight="1.00pt">
                      <v:path textboxrect="0,0,0,0"/>
                    </v:shape>
                  </w:pict>
                </mc:Fallback>
              </mc:AlternateContent>
            </w:r>
          </w:p>
        </w:tc>
      </w:tr>
      <w:tr w:rsidR="0027046C" w14:paraId="2A49C80F" w14:textId="77777777" w:rsidTr="008A0432">
        <w:trPr>
          <w:trHeight w:val="822"/>
        </w:trPr>
        <w:tc>
          <w:tcPr>
            <w:tcW w:w="2813" w:type="pct"/>
          </w:tcPr>
          <w:p w14:paraId="2B398764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Bereitschaft/Akzeptanz/Aufgeschlossenheit der Beschäftigten für die Notwendigkeit der Maßnahmen gegeben?</w:t>
            </w:r>
          </w:p>
        </w:tc>
        <w:tc>
          <w:tcPr>
            <w:tcW w:w="1564" w:type="pct"/>
          </w:tcPr>
          <w:p w14:paraId="590BDF7B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37895334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6FA2A648" w14:textId="77777777">
        <w:tc>
          <w:tcPr>
            <w:tcW w:w="2813" w:type="pct"/>
          </w:tcPr>
          <w:p w14:paraId="6B8CBCF1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Akzeptieren die Kunden die Notwendigkeit der Maßnahmen?</w:t>
            </w:r>
          </w:p>
        </w:tc>
        <w:tc>
          <w:tcPr>
            <w:tcW w:w="1564" w:type="pct"/>
          </w:tcPr>
          <w:p w14:paraId="11394D0F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5E4DF451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07DB1AD5" w14:textId="77777777">
        <w:tc>
          <w:tcPr>
            <w:tcW w:w="2813" w:type="pct"/>
          </w:tcPr>
          <w:p w14:paraId="4DD216B6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Engagieren sich die Beschäftigten auch unter Pandemiebedingungen, effektiv zu arbeiten und schnell Lösungen zu finden?</w:t>
            </w:r>
          </w:p>
        </w:tc>
        <w:tc>
          <w:tcPr>
            <w:tcW w:w="1564" w:type="pct"/>
          </w:tcPr>
          <w:p w14:paraId="0FBE1604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0A5F5F63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036F54C0" w14:textId="77777777">
        <w:tc>
          <w:tcPr>
            <w:tcW w:w="2813" w:type="pct"/>
          </w:tcPr>
          <w:p w14:paraId="7BA103E4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Treten die Führungskräfte konsequent gegenüber Beschäftigten bei der Umsetzung der Maßnahmen auf?</w:t>
            </w:r>
          </w:p>
        </w:tc>
        <w:tc>
          <w:tcPr>
            <w:tcW w:w="1564" w:type="pct"/>
          </w:tcPr>
          <w:p w14:paraId="6B1F299A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258BE8D1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484962F3" w14:textId="77777777">
        <w:tc>
          <w:tcPr>
            <w:tcW w:w="2813" w:type="pct"/>
          </w:tcPr>
          <w:p w14:paraId="6112ED6A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 bereits Regelungen zu flexibler Arbeitszeit (Rahmenarbeitszeitordnungen) bzw. Arbeitsortflexibilisierung?</w:t>
            </w:r>
            <w:r>
              <w:rPr>
                <w:rFonts w:ascii="Arial" w:hAnsi="Arial" w:cs="Arial"/>
                <w:sz w:val="20"/>
              </w:rPr>
              <w:br/>
              <w:t>Ist die geplante Arbeitszeitlösung auf Langfristigkeit angelegt?</w:t>
            </w:r>
          </w:p>
        </w:tc>
        <w:tc>
          <w:tcPr>
            <w:tcW w:w="1564" w:type="pct"/>
          </w:tcPr>
          <w:p w14:paraId="2E2AE708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3EEDEA7C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35B85264" w14:textId="77777777">
        <w:tc>
          <w:tcPr>
            <w:tcW w:w="2813" w:type="pct"/>
          </w:tcPr>
          <w:p w14:paraId="4265DE31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die Bereitschaft der Geschäftsleitung zu praktikablen Lösungen bei der Kinderbetreuung/Homeschooling gegeben?</w:t>
            </w:r>
          </w:p>
        </w:tc>
        <w:tc>
          <w:tcPr>
            <w:tcW w:w="1564" w:type="pct"/>
          </w:tcPr>
          <w:p w14:paraId="5909D671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69748251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63E934A9" w14:textId="77777777">
        <w:tc>
          <w:tcPr>
            <w:tcW w:w="2813" w:type="pct"/>
          </w:tcPr>
          <w:p w14:paraId="7B3D8E8E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die Führungskräfte für die Problematik von Homeoffice sensibilisiert und gehen auf die individuellen Situationen der Beschäftigten ein?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64" w:type="pct"/>
          </w:tcPr>
          <w:p w14:paraId="0392E1B0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34E8D968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53EE1BE9" w14:textId="77777777">
        <w:tc>
          <w:tcPr>
            <w:tcW w:w="2813" w:type="pct"/>
          </w:tcPr>
          <w:p w14:paraId="049614FC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Wird kontinuierlich Feedback der Beschäftigten zum Erleben und Befinden eingeholt und ggf. </w:t>
            </w:r>
            <w:r w:rsidR="008A0432">
              <w:rPr>
                <w:rFonts w:ascii="Arial" w:hAnsi="Arial" w:cs="Arial"/>
                <w:sz w:val="20"/>
              </w:rPr>
              <w:t xml:space="preserve">die </w:t>
            </w:r>
            <w:r>
              <w:rPr>
                <w:rFonts w:ascii="Arial" w:hAnsi="Arial" w:cs="Arial"/>
                <w:sz w:val="20"/>
              </w:rPr>
              <w:t>Maßnahmen angepasst?</w:t>
            </w:r>
          </w:p>
        </w:tc>
        <w:tc>
          <w:tcPr>
            <w:tcW w:w="1564" w:type="pct"/>
          </w:tcPr>
          <w:p w14:paraId="0CAFB602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4BE60F84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6CA0E17B" w14:textId="77777777">
        <w:tc>
          <w:tcPr>
            <w:tcW w:w="2813" w:type="pct"/>
          </w:tcPr>
          <w:p w14:paraId="70B19521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Wird eine erhöhte Aufmerksamkeit auf die erfolgreiche Integration und die Integration von neuen Beschäftigten gerichtet? </w:t>
            </w:r>
          </w:p>
        </w:tc>
        <w:tc>
          <w:tcPr>
            <w:tcW w:w="1564" w:type="pct"/>
          </w:tcPr>
          <w:p w14:paraId="67B30ADF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5AB4FED4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</w:tbl>
    <w:p w14:paraId="51AE26FB" w14:textId="1B7AD290" w:rsidR="00872293" w:rsidRDefault="00872293" w:rsidP="00872293">
      <w:pPr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14:paraId="51ECAA24" w14:textId="77777777" w:rsidR="00872293" w:rsidRDefault="00872293">
      <w:pPr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br w:type="page"/>
      </w:r>
    </w:p>
    <w:p w14:paraId="0D224ED2" w14:textId="77777777" w:rsidR="0027046C" w:rsidRDefault="00222723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Voraussetzungen</w:t>
      </w:r>
    </w:p>
    <w:tbl>
      <w:tblPr>
        <w:tblStyle w:val="Tabellenras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97"/>
        <w:gridCol w:w="2836"/>
        <w:gridCol w:w="1129"/>
      </w:tblGrid>
      <w:tr w:rsidR="0027046C" w14:paraId="5289B241" w14:textId="77777777">
        <w:tc>
          <w:tcPr>
            <w:tcW w:w="2812" w:type="pct"/>
          </w:tcPr>
          <w:p w14:paraId="783692B2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60A6B0A5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Verbale Einschätzung</w:t>
            </w:r>
          </w:p>
        </w:tc>
        <w:tc>
          <w:tcPr>
            <w:tcW w:w="623" w:type="pct"/>
            <w:vAlign w:val="center"/>
          </w:tcPr>
          <w:p w14:paraId="75D39F0D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27046C" w14:paraId="4DCC9A9B" w14:textId="77777777">
        <w:trPr>
          <w:trHeight w:val="1105"/>
        </w:trPr>
        <w:tc>
          <w:tcPr>
            <w:tcW w:w="2812" w:type="pct"/>
          </w:tcPr>
          <w:p w14:paraId="07883D43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die notwendigen IT-Voraussetzungen gegeben?</w:t>
            </w:r>
          </w:p>
          <w:p w14:paraId="10A2D80F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Hard- und Softwareausstattung </w:t>
            </w:r>
          </w:p>
          <w:p w14:paraId="52476B13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stabile Internetverbindung</w:t>
            </w:r>
          </w:p>
          <w:p w14:paraId="18E39783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sicherer IT-Zugang</w:t>
            </w:r>
          </w:p>
          <w:p w14:paraId="6E384DBC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dezentrale Verfügbarkeit von Dokumenten und Dateien</w:t>
            </w:r>
          </w:p>
          <w:p w14:paraId="010B1AA4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ggf. Nutzung digitaler Signaturen</w:t>
            </w:r>
          </w:p>
          <w:p w14:paraId="2209A413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Vorgaben zum sicheren Umgang mit unternehmensbezogenen Daten </w:t>
            </w:r>
          </w:p>
          <w:p w14:paraId="66E843F8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Fachkompetenz des IT-Teams</w:t>
            </w:r>
            <w:r w:rsidR="008A043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8A043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Erfahrungen auf verschiedenen Hierarchieebenen</w:t>
            </w:r>
          </w:p>
          <w:p w14:paraId="778468FB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IT-Knowhow der einzelnen MitarbeiterInnen</w:t>
            </w:r>
          </w:p>
          <w:p w14:paraId="2DBC4C49" w14:textId="77777777" w:rsidR="0027046C" w:rsidRDefault="0022272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Bereitschaft der Beschäftigten und Möglichkeiten zum Selbstlernen (Handreichungen/Tools/kollegialer Austausch)</w:t>
            </w:r>
          </w:p>
        </w:tc>
        <w:tc>
          <w:tcPr>
            <w:tcW w:w="1565" w:type="pct"/>
          </w:tcPr>
          <w:p w14:paraId="2BC763F6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1B52AD3C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10AAC24A" w14:textId="77777777">
        <w:tc>
          <w:tcPr>
            <w:tcW w:w="2812" w:type="pct"/>
          </w:tcPr>
          <w:p w14:paraId="3D5414E9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ein gutes Betriebsklima gegeben? Kennen sich die zusammenarbeitenden Beschäftigten persönlich?</w:t>
            </w:r>
          </w:p>
        </w:tc>
        <w:tc>
          <w:tcPr>
            <w:tcW w:w="1565" w:type="pct"/>
          </w:tcPr>
          <w:p w14:paraId="5DB2F7FF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35E0EB2C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3BCA9161" w14:textId="77777777">
        <w:tc>
          <w:tcPr>
            <w:tcW w:w="2812" w:type="pct"/>
          </w:tcPr>
          <w:p w14:paraId="01EC596B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Besteht Vertrauen der Führung in die Beschäftigten? Ist die Bereitschaft der Führungskräfte auf einen Vertrauensvorschuss angesichts der Arbeitszeit- und Arbeitsortflexibilisierung gegeben?</w:t>
            </w:r>
          </w:p>
        </w:tc>
        <w:tc>
          <w:tcPr>
            <w:tcW w:w="1565" w:type="pct"/>
          </w:tcPr>
          <w:p w14:paraId="632F0AC0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1EBC6064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2C8142A1" w14:textId="77777777">
        <w:tc>
          <w:tcPr>
            <w:tcW w:w="2812" w:type="pct"/>
          </w:tcPr>
          <w:p w14:paraId="653800CA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Vertrauen die Beschäftigten grundsätzlich der Geschäftsleitung?</w:t>
            </w:r>
          </w:p>
        </w:tc>
        <w:tc>
          <w:tcPr>
            <w:tcW w:w="1565" w:type="pct"/>
          </w:tcPr>
          <w:p w14:paraId="30833B52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35878EE2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</w:tbl>
    <w:p w14:paraId="75E5DBBF" w14:textId="77777777" w:rsidR="0027046C" w:rsidRDefault="0027046C">
      <w:pPr>
        <w:pStyle w:val="berschrift2"/>
        <w:rPr>
          <w:rFonts w:ascii="Arial" w:hAnsi="Arial" w:cs="Arial"/>
        </w:rPr>
      </w:pPr>
    </w:p>
    <w:p w14:paraId="0E2C369C" w14:textId="77777777" w:rsidR="0027046C" w:rsidRDefault="00222723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Maßnahmenentwicklung</w:t>
      </w:r>
    </w:p>
    <w:tbl>
      <w:tblPr>
        <w:tblStyle w:val="Tabellenras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97"/>
        <w:gridCol w:w="2836"/>
        <w:gridCol w:w="1129"/>
      </w:tblGrid>
      <w:tr w:rsidR="0027046C" w14:paraId="0B57BDDE" w14:textId="77777777">
        <w:tc>
          <w:tcPr>
            <w:tcW w:w="2812" w:type="pct"/>
          </w:tcPr>
          <w:p w14:paraId="5137BAD7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62079E79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Verbale Einschätzung</w:t>
            </w:r>
          </w:p>
        </w:tc>
        <w:tc>
          <w:tcPr>
            <w:tcW w:w="623" w:type="pct"/>
            <w:vAlign w:val="center"/>
          </w:tcPr>
          <w:p w14:paraId="59577607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27046C" w14:paraId="5F95DFAD" w14:textId="77777777">
        <w:tc>
          <w:tcPr>
            <w:tcW w:w="2812" w:type="pct"/>
          </w:tcPr>
          <w:p w14:paraId="401BA086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die Flexibilität der gültigen gesetzlichen Regelungen für die geplanten Maßnahmen groß genug?</w:t>
            </w:r>
          </w:p>
        </w:tc>
        <w:tc>
          <w:tcPr>
            <w:tcW w:w="1565" w:type="pct"/>
          </w:tcPr>
          <w:p w14:paraId="7EEA1B54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76275FDF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045D0539" w14:textId="77777777">
        <w:tc>
          <w:tcPr>
            <w:tcW w:w="2812" w:type="pct"/>
          </w:tcPr>
          <w:p w14:paraId="13B2DED2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Hat die Unternehmensleitung die Möglichkeit zu autarker Entscheidung hinsichtlich konkreter Maßnahmen? </w:t>
            </w:r>
          </w:p>
        </w:tc>
        <w:tc>
          <w:tcPr>
            <w:tcW w:w="1565" w:type="pct"/>
          </w:tcPr>
          <w:p w14:paraId="501AD224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2FFC7D3B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5B1C853B" w14:textId="77777777">
        <w:tc>
          <w:tcPr>
            <w:tcW w:w="2812" w:type="pct"/>
          </w:tcPr>
          <w:p w14:paraId="7F9E0570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die Erfahrungen anderer Unternehmen und Institutionen bei der Auswahl konkreter Maßnahmen genutzt?</w:t>
            </w:r>
          </w:p>
        </w:tc>
        <w:tc>
          <w:tcPr>
            <w:tcW w:w="1565" w:type="pct"/>
          </w:tcPr>
          <w:p w14:paraId="6C43A08E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797365FD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23140493" w14:textId="77777777">
        <w:tc>
          <w:tcPr>
            <w:tcW w:w="2812" w:type="pct"/>
          </w:tcPr>
          <w:p w14:paraId="70301F0B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Werden die Maßnahmen schnell und pragmatisch eingeführt und iterativ weiterentwickelt?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65" w:type="pct"/>
          </w:tcPr>
          <w:p w14:paraId="0123D772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570CDA00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587FCE74" w14:textId="77777777">
        <w:tc>
          <w:tcPr>
            <w:tcW w:w="2812" w:type="pct"/>
          </w:tcPr>
          <w:p w14:paraId="520040C9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Hat das Unternehmen einen Krisenstab etabliert? Sind alle relevanten Personen, inkl. Arbeitnehmervertretung daran beteiligt?</w:t>
            </w:r>
          </w:p>
        </w:tc>
        <w:tc>
          <w:tcPr>
            <w:tcW w:w="1565" w:type="pct"/>
          </w:tcPr>
          <w:p w14:paraId="6EC24080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2D315467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2F8DE57C" w14:textId="77777777">
        <w:tc>
          <w:tcPr>
            <w:tcW w:w="2812" w:type="pct"/>
          </w:tcPr>
          <w:p w14:paraId="3A202C94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Engagieren sich die Beschäftigten bei der Maßnahmenentwicklung?</w:t>
            </w:r>
          </w:p>
        </w:tc>
        <w:tc>
          <w:tcPr>
            <w:tcW w:w="1565" w:type="pct"/>
          </w:tcPr>
          <w:p w14:paraId="7F5B0DF1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6332D122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4B5DC791" w14:textId="77777777">
        <w:tc>
          <w:tcPr>
            <w:tcW w:w="2812" w:type="pct"/>
          </w:tcPr>
          <w:p w14:paraId="71A9A19B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Wird durch den Krisenstab ein konkreter Maßnahmenplan formuliert und kontinuierlich fortgeschrieben?</w:t>
            </w:r>
          </w:p>
        </w:tc>
        <w:tc>
          <w:tcPr>
            <w:tcW w:w="1565" w:type="pct"/>
          </w:tcPr>
          <w:p w14:paraId="13A9B62A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70BE30A9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5880243D" w14:textId="77777777">
        <w:tc>
          <w:tcPr>
            <w:tcW w:w="2812" w:type="pct"/>
          </w:tcPr>
          <w:p w14:paraId="67BDEF66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Wird der Erfolg der Maßnahmen kontrolliert und die Maßnahme ggf. angepasst?</w:t>
            </w:r>
          </w:p>
        </w:tc>
        <w:tc>
          <w:tcPr>
            <w:tcW w:w="1565" w:type="pct"/>
          </w:tcPr>
          <w:p w14:paraId="7C960134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21B93056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0A194A4E" w14:textId="77777777">
        <w:tc>
          <w:tcPr>
            <w:tcW w:w="2812" w:type="pct"/>
          </w:tcPr>
          <w:p w14:paraId="46FB1F90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die Maßnahmen in Organisationsanweisungen bzw. Betriebsvereinbarungen umfassend und nachvollziehbar dokumentiert?</w:t>
            </w:r>
          </w:p>
        </w:tc>
        <w:tc>
          <w:tcPr>
            <w:tcW w:w="1565" w:type="pct"/>
          </w:tcPr>
          <w:p w14:paraId="2AF6A444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53088D15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</w:tbl>
    <w:p w14:paraId="0744467D" w14:textId="77777777" w:rsidR="0027046C" w:rsidRDefault="0027046C">
      <w:pPr>
        <w:pStyle w:val="berschrift2"/>
        <w:rPr>
          <w:rFonts w:ascii="Arial" w:hAnsi="Arial" w:cs="Arial"/>
        </w:rPr>
      </w:pPr>
    </w:p>
    <w:p w14:paraId="6150ED12" w14:textId="77777777" w:rsidR="0027046C" w:rsidRDefault="00222723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Maßnahmenkommunikation</w:t>
      </w:r>
    </w:p>
    <w:tbl>
      <w:tblPr>
        <w:tblStyle w:val="Tabellenras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97"/>
        <w:gridCol w:w="2836"/>
        <w:gridCol w:w="1129"/>
      </w:tblGrid>
      <w:tr w:rsidR="0027046C" w14:paraId="09D09099" w14:textId="77777777">
        <w:tc>
          <w:tcPr>
            <w:tcW w:w="2812" w:type="pct"/>
          </w:tcPr>
          <w:p w14:paraId="78A3A633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392BEA7D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Verbale Einschätzung</w:t>
            </w:r>
          </w:p>
        </w:tc>
        <w:tc>
          <w:tcPr>
            <w:tcW w:w="623" w:type="pct"/>
            <w:vAlign w:val="center"/>
          </w:tcPr>
          <w:p w14:paraId="64CF8FE7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27046C" w14:paraId="7AF85E6C" w14:textId="77777777">
        <w:tc>
          <w:tcPr>
            <w:tcW w:w="2812" w:type="pct"/>
          </w:tcPr>
          <w:p w14:paraId="214804D7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die Entscheidungen der Geschäftsleitung nachvollziehbar und offen kommuniziert?</w:t>
            </w:r>
          </w:p>
        </w:tc>
        <w:tc>
          <w:tcPr>
            <w:tcW w:w="1565" w:type="pct"/>
          </w:tcPr>
          <w:p w14:paraId="62EE7BFA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721717C9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249385C0" w14:textId="77777777">
        <w:trPr>
          <w:trHeight w:val="837"/>
        </w:trPr>
        <w:tc>
          <w:tcPr>
            <w:tcW w:w="2812" w:type="pct"/>
          </w:tcPr>
          <w:p w14:paraId="254B3E5C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die Beschäftigten umfassend über die Maßnahmen informiert?</w:t>
            </w:r>
          </w:p>
          <w:p w14:paraId="52A42344" w14:textId="77777777" w:rsidR="0027046C" w:rsidRDefault="0022272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digitale, synchrone und asynchrone </w:t>
            </w:r>
            <w:r w:rsidR="008A0432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nformation</w:t>
            </w:r>
            <w:r w:rsidR="008A0432">
              <w:rPr>
                <w:rFonts w:ascii="Arial" w:hAnsi="Arial" w:cs="Arial"/>
                <w:sz w:val="20"/>
              </w:rPr>
              <w:t xml:space="preserve"> der Belegschaft</w:t>
            </w:r>
          </w:p>
          <w:p w14:paraId="7DE9CB5B" w14:textId="77777777" w:rsidR="0027046C" w:rsidRDefault="0022272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transparente Kommunikation </w:t>
            </w:r>
            <w:r w:rsidR="008A0432">
              <w:rPr>
                <w:rFonts w:ascii="Arial" w:hAnsi="Arial" w:cs="Arial"/>
                <w:sz w:val="20"/>
              </w:rPr>
              <w:t>durch die</w:t>
            </w:r>
            <w:r>
              <w:rPr>
                <w:rFonts w:ascii="Arial" w:hAnsi="Arial" w:cs="Arial"/>
                <w:sz w:val="20"/>
              </w:rPr>
              <w:t xml:space="preserve"> Geschäftsleitung</w:t>
            </w:r>
          </w:p>
        </w:tc>
        <w:tc>
          <w:tcPr>
            <w:tcW w:w="1565" w:type="pct"/>
          </w:tcPr>
          <w:p w14:paraId="0D2B523B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51FE51C3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0AC2B2A5" w14:textId="77777777">
        <w:trPr>
          <w:trHeight w:val="837"/>
        </w:trPr>
        <w:tc>
          <w:tcPr>
            <w:tcW w:w="2812" w:type="pct"/>
          </w:tcPr>
          <w:p w14:paraId="4A7EDD68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Unterschiede in den Vorgaben für verschiedene Gruppen von Beschäftigten nachvollziehbar begründet und kommuniziert?</w:t>
            </w:r>
          </w:p>
        </w:tc>
        <w:tc>
          <w:tcPr>
            <w:tcW w:w="1565" w:type="pct"/>
          </w:tcPr>
          <w:p w14:paraId="0000C3A4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385E0A6C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6C453BC9" w14:textId="77777777">
        <w:tc>
          <w:tcPr>
            <w:tcW w:w="2812" w:type="pct"/>
          </w:tcPr>
          <w:p w14:paraId="6A4C2A4C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die unmittelbaren Führungskräfte für die Klärung individueller organisatorischer Fragen zuständig?</w:t>
            </w:r>
          </w:p>
        </w:tc>
        <w:tc>
          <w:tcPr>
            <w:tcW w:w="1565" w:type="pct"/>
          </w:tcPr>
          <w:p w14:paraId="06FF94F5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16022B56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  <w:tr w:rsidR="0027046C" w14:paraId="379CC0B3" w14:textId="77777777">
        <w:tc>
          <w:tcPr>
            <w:tcW w:w="2812" w:type="pct"/>
          </w:tcPr>
          <w:p w14:paraId="37137B0B" w14:textId="77777777" w:rsidR="0027046C" w:rsidRDefault="002227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Gehen sie dabei auf eventuelle Skepsis bzw. Unsicherheitsgefühle der Beschäftigten ein?</w:t>
            </w:r>
          </w:p>
        </w:tc>
        <w:tc>
          <w:tcPr>
            <w:tcW w:w="1565" w:type="pct"/>
          </w:tcPr>
          <w:p w14:paraId="01641391" w14:textId="77777777" w:rsidR="0027046C" w:rsidRDefault="00270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774F487C" w14:textId="77777777" w:rsidR="0027046C" w:rsidRDefault="002227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?</w:t>
            </w:r>
          </w:p>
        </w:tc>
      </w:tr>
    </w:tbl>
    <w:p w14:paraId="13995797" w14:textId="77777777" w:rsidR="0027046C" w:rsidRDefault="0027046C">
      <w:pPr>
        <w:rPr>
          <w:rFonts w:ascii="Arial" w:hAnsi="Arial" w:cs="Arial"/>
          <w:sz w:val="20"/>
        </w:rPr>
      </w:pPr>
    </w:p>
    <w:p w14:paraId="7CC1F70C" w14:textId="77777777" w:rsidR="0027046C" w:rsidRDefault="0027046C">
      <w:pPr>
        <w:rPr>
          <w:rFonts w:ascii="Arial" w:hAnsi="Arial" w:cs="Arial"/>
          <w:sz w:val="20"/>
        </w:rPr>
      </w:pPr>
    </w:p>
    <w:sectPr w:rsidR="0027046C" w:rsidSect="008A0432">
      <w:headerReference w:type="default" r:id="rId9"/>
      <w:pgSz w:w="11906" w:h="16838"/>
      <w:pgMar w:top="165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DEB2B" w14:textId="77777777" w:rsidR="0096563E" w:rsidRDefault="0096563E">
      <w:pPr>
        <w:spacing w:after="0" w:line="240" w:lineRule="auto"/>
      </w:pPr>
      <w:r>
        <w:separator/>
      </w:r>
    </w:p>
  </w:endnote>
  <w:endnote w:type="continuationSeparator" w:id="0">
    <w:p w14:paraId="5307953F" w14:textId="77777777" w:rsidR="0096563E" w:rsidRDefault="0096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4BBF" w14:textId="77777777" w:rsidR="0096563E" w:rsidRDefault="0096563E">
      <w:pPr>
        <w:spacing w:after="0" w:line="240" w:lineRule="auto"/>
      </w:pPr>
      <w:r>
        <w:separator/>
      </w:r>
    </w:p>
  </w:footnote>
  <w:footnote w:type="continuationSeparator" w:id="0">
    <w:p w14:paraId="61291541" w14:textId="77777777" w:rsidR="0096563E" w:rsidRDefault="0096563E">
      <w:pPr>
        <w:spacing w:after="0" w:line="240" w:lineRule="auto"/>
      </w:pPr>
      <w:r>
        <w:continuationSeparator/>
      </w:r>
    </w:p>
  </w:footnote>
  <w:footnote w:id="1">
    <w:p w14:paraId="7ED690B5" w14:textId="77777777" w:rsidR="0027046C" w:rsidRPr="008A0432" w:rsidRDefault="00222723">
      <w:pPr>
        <w:pStyle w:val="Funotentext"/>
        <w:rPr>
          <w:rFonts w:ascii="Arial" w:hAnsi="Arial" w:cs="Arial"/>
        </w:rPr>
      </w:pPr>
      <w:r w:rsidRPr="008A0432">
        <w:rPr>
          <w:rStyle w:val="Funotenzeichen"/>
          <w:rFonts w:ascii="Arial" w:hAnsi="Arial" w:cs="Arial"/>
        </w:rPr>
        <w:footnoteRef/>
      </w:r>
      <w:r w:rsidRPr="008A0432">
        <w:rPr>
          <w:rFonts w:ascii="Arial" w:hAnsi="Arial" w:cs="Arial"/>
        </w:rPr>
        <w:t xml:space="preserve"> Zur Unterstützung ist ein Feld zur Auswahl der 3 Ampelfarben hinterlegt.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14C7" w14:textId="77777777" w:rsidR="0027046C" w:rsidRDefault="00222723">
    <w:pPr>
      <w:pStyle w:val="Kopfzeile"/>
    </w:pPr>
    <w:r>
      <w:rPr>
        <w:noProof/>
        <w:lang w:eastAsia="de-DE"/>
      </w:rPr>
      <mc:AlternateContent>
        <mc:Choice Requires="wpg">
          <w:drawing>
            <wp:inline distT="0" distB="0" distL="0" distR="0" wp14:anchorId="680EC1E1" wp14:editId="1930C3DC">
              <wp:extent cx="1858010" cy="412750"/>
              <wp:effectExtent l="0" t="0" r="8890" b="6350"/>
              <wp:docPr id="1" name="Grafik 1" descr="COVID19LL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VID19LL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5801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46.3pt;height:32.5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280"/>
    <w:multiLevelType w:val="hybridMultilevel"/>
    <w:tmpl w:val="2BD27362"/>
    <w:lvl w:ilvl="0" w:tplc="DED2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CF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68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86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0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AE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0C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A3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6F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6CD"/>
    <w:multiLevelType w:val="hybridMultilevel"/>
    <w:tmpl w:val="76CCF5E6"/>
    <w:lvl w:ilvl="0" w:tplc="1E10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2E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AE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A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86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26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4B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49A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65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7270"/>
    <w:multiLevelType w:val="hybridMultilevel"/>
    <w:tmpl w:val="063A49E8"/>
    <w:lvl w:ilvl="0" w:tplc="BCDE2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2DEDC">
      <w:start w:val="1"/>
      <w:numFmt w:val="lowerLetter"/>
      <w:lvlText w:val="%2."/>
      <w:lvlJc w:val="left"/>
      <w:pPr>
        <w:ind w:left="1440" w:hanging="360"/>
      </w:pPr>
    </w:lvl>
    <w:lvl w:ilvl="2" w:tplc="5B9CD426">
      <w:start w:val="1"/>
      <w:numFmt w:val="lowerRoman"/>
      <w:lvlText w:val="%3."/>
      <w:lvlJc w:val="right"/>
      <w:pPr>
        <w:ind w:left="2160" w:hanging="180"/>
      </w:pPr>
    </w:lvl>
    <w:lvl w:ilvl="3" w:tplc="6C1CC860">
      <w:start w:val="1"/>
      <w:numFmt w:val="decimal"/>
      <w:lvlText w:val="%4."/>
      <w:lvlJc w:val="left"/>
      <w:pPr>
        <w:ind w:left="2880" w:hanging="360"/>
      </w:pPr>
    </w:lvl>
    <w:lvl w:ilvl="4" w:tplc="94CA84C2">
      <w:start w:val="1"/>
      <w:numFmt w:val="lowerLetter"/>
      <w:lvlText w:val="%5."/>
      <w:lvlJc w:val="left"/>
      <w:pPr>
        <w:ind w:left="3600" w:hanging="360"/>
      </w:pPr>
    </w:lvl>
    <w:lvl w:ilvl="5" w:tplc="98C41178">
      <w:start w:val="1"/>
      <w:numFmt w:val="lowerRoman"/>
      <w:lvlText w:val="%6."/>
      <w:lvlJc w:val="right"/>
      <w:pPr>
        <w:ind w:left="4320" w:hanging="180"/>
      </w:pPr>
    </w:lvl>
    <w:lvl w:ilvl="6" w:tplc="9522E896">
      <w:start w:val="1"/>
      <w:numFmt w:val="decimal"/>
      <w:lvlText w:val="%7."/>
      <w:lvlJc w:val="left"/>
      <w:pPr>
        <w:ind w:left="5040" w:hanging="360"/>
      </w:pPr>
    </w:lvl>
    <w:lvl w:ilvl="7" w:tplc="5A9803C6">
      <w:start w:val="1"/>
      <w:numFmt w:val="lowerLetter"/>
      <w:lvlText w:val="%8."/>
      <w:lvlJc w:val="left"/>
      <w:pPr>
        <w:ind w:left="5760" w:hanging="360"/>
      </w:pPr>
    </w:lvl>
    <w:lvl w:ilvl="8" w:tplc="2EF24D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C"/>
    <w:rsid w:val="00222723"/>
    <w:rsid w:val="0027046C"/>
    <w:rsid w:val="005F29D0"/>
    <w:rsid w:val="00872293"/>
    <w:rsid w:val="008A0432"/>
    <w:rsid w:val="0096563E"/>
    <w:rsid w:val="00A748E6"/>
    <w:rsid w:val="00E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2E32"/>
  <w15:docId w15:val="{7DD0EF43-8088-1C44-830C-69B26FDD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BC84C08-A51F-4C7C-A6E7-9B0C665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</dc:creator>
  <cp:keywords/>
  <dc:description/>
  <cp:lastModifiedBy>Sophie Berger</cp:lastModifiedBy>
  <cp:revision>3</cp:revision>
  <dcterms:created xsi:type="dcterms:W3CDTF">2022-02-16T13:06:00Z</dcterms:created>
  <dcterms:modified xsi:type="dcterms:W3CDTF">2022-02-16T13:06:00Z</dcterms:modified>
</cp:coreProperties>
</file>