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28" w:rsidRPr="00915E28" w:rsidRDefault="00915E28" w:rsidP="00915E28">
      <w:pPr>
        <w:rPr>
          <w:b/>
          <w:color w:val="auto"/>
          <w:sz w:val="22"/>
          <w:szCs w:val="22"/>
        </w:rPr>
      </w:pPr>
      <w:r w:rsidRPr="00915E28">
        <w:rPr>
          <w:b/>
          <w:color w:val="auto"/>
          <w:sz w:val="22"/>
          <w:szCs w:val="22"/>
        </w:rPr>
        <w:t>FRAGE:</w:t>
      </w:r>
      <w:bookmarkStart w:id="0" w:name="_GoBack"/>
      <w:bookmarkEnd w:id="0"/>
    </w:p>
    <w:p w:rsidR="00915E28" w:rsidRPr="00915E28" w:rsidRDefault="00915E28" w:rsidP="00915E28">
      <w:pPr>
        <w:pStyle w:val="StandardWeb"/>
        <w:spacing w:before="0" w:beforeAutospacing="0" w:after="0" w:afterAutospacing="0"/>
        <w:rPr>
          <w:rFonts w:ascii="Open Sans" w:hAnsi="Open Sans" w:cs="Open Sans"/>
          <w:b/>
          <w:sz w:val="22"/>
          <w:szCs w:val="22"/>
        </w:rPr>
      </w:pPr>
      <w:r w:rsidRPr="00915E28">
        <w:rPr>
          <w:rFonts w:ascii="Open Sans" w:hAnsi="Open Sans" w:cs="Open Sans"/>
          <w:b/>
          <w:sz w:val="22"/>
          <w:szCs w:val="22"/>
        </w:rPr>
        <w:t>Welche prüfungsrelevanten Regelungen gibt es für schwerbehinderte Studierende? Wo kann ich das nachlesen/finden?</w:t>
      </w:r>
    </w:p>
    <w:p w:rsidR="00915E28" w:rsidRDefault="00915E28" w:rsidP="00915E28">
      <w:pPr>
        <w:pStyle w:val="Standard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:rsidR="00915E28" w:rsidRDefault="00915E28" w:rsidP="00915E28">
      <w:pPr>
        <w:pStyle w:val="Standard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ANTWORT: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der jeweiligen Prüfungsordnung der Studiengänge unter § 5 Absatz 3 (gesundheitlich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bedingt) und 4 (Betreuung eigener Kinder/Pflegebedürftiger)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finden sich die Ausführungen zum so genannten Nachteilsausgleich.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Ihre Studiendokumente finden Sie stets aktuell auf unserer Homepage unter </w:t>
      </w:r>
      <w:hyperlink r:id="rId4" w:history="1">
        <w:r>
          <w:rPr>
            <w:rStyle w:val="Hyperlink"/>
            <w:sz w:val="22"/>
            <w:szCs w:val="22"/>
          </w:rPr>
          <w:t>https://tu-dresden.de/zlsb/lehramtsstudium/studienangebot/studiendokumente</w:t>
        </w:r>
      </w:hyperlink>
      <w:r>
        <w:rPr>
          <w:color w:val="auto"/>
          <w:sz w:val="22"/>
          <w:szCs w:val="22"/>
        </w:rPr>
        <w:t xml:space="preserve"> 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 Nachteilausgleich kann formlos schriftlich (Brief) über den jeweils zuständigen Prüfungsausschuss beantragt werden. Dazu ist die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Vorlage entsprechender Nachweise über die Art der Beeinträchtigung und Ihre Auswirkungen auf die Prüffähigkeit notwendig.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 können Vorschläge eingebracht werden, welche Maßnahmen unterstützend wirken könnten. Die Entscheidung über Art und Umfang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des Nachteilsausgleiches hat der zuständige Prüfungsausschuss ggf. in Absprache mit dem jeweiligen Prüfenden.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Antrag ist bitte über das Prüfungsamt des Studienbüros Lehramt einzureichen.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Nachweise können sein: ausformulierte ärztliche Atteste, Nachweise über Betreuung Pflegebedürftiger und weitere aus denen der Umfang sowie ggf. der zeitliche Rahmen der Beeinträchtigung hervorgeht.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Denkbare Maßnahmen wären grundsätzlich: Schreibzeitverlängerung, </w:t>
      </w:r>
      <w:r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ausengewährung, Angebot Individualtermine, Schaffung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besonderer räumlicher Bedingungen (sofern notwendig) etc. 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Nicht möglich sind hingegen: Wegfall von Prüfungsleistungen und/oder gravierende Abwandlung der Prüfungsform, da das Ziel und der Zweck der Prüfung </w:t>
      </w: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gemäß Modulbeschreibung gewährleistet bleiben muss.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Entscheidung über das Gewähren eines Nachteilsausgleiches ist eine Einzelfallentscheidung und basiert auf den jeweiligen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Begebenheiten der betroffenen Studierenden bzw. der betroffenen Prüfungen. Eine Verallgemeinerung ist nicht möglich.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Mögliche Ansprechpartner*innen für eine erste allgemeine Beratung finden Sie unter </w:t>
      </w:r>
      <w:hyperlink r:id="rId5" w:history="1">
        <w:r>
          <w:rPr>
            <w:rStyle w:val="Hyperlink"/>
            <w:sz w:val="22"/>
            <w:szCs w:val="22"/>
          </w:rPr>
          <w:t>https://tu-dresden.de/studium/rund-ums-studium/studieren-mit-beeintraechtigung</w:t>
        </w:r>
      </w:hyperlink>
    </w:p>
    <w:p w:rsidR="00915E28" w:rsidRDefault="00915E28" w:rsidP="00915E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oder </w:t>
      </w:r>
      <w:hyperlink r:id="rId6" w:history="1">
        <w:r>
          <w:rPr>
            <w:rStyle w:val="Hyperlink"/>
            <w:sz w:val="22"/>
            <w:szCs w:val="22"/>
          </w:rPr>
          <w:t>https://tu-dresden.de/studium/rund-ums-studium/studieren-mit-familie</w:t>
        </w:r>
      </w:hyperlink>
      <w:r>
        <w:rPr>
          <w:color w:val="auto"/>
          <w:sz w:val="22"/>
          <w:szCs w:val="22"/>
        </w:rPr>
        <w:t xml:space="preserve"> .</w:t>
      </w:r>
    </w:p>
    <w:p w:rsidR="00915E28" w:rsidRDefault="00915E28" w:rsidP="00915E28">
      <w:pPr>
        <w:rPr>
          <w:color w:val="auto"/>
          <w:sz w:val="22"/>
          <w:szCs w:val="22"/>
        </w:rPr>
      </w:pPr>
    </w:p>
    <w:p w:rsidR="00915E28" w:rsidRDefault="00915E28" w:rsidP="00915E28">
      <w:pPr>
        <w:rPr>
          <w:color w:val="auto"/>
          <w:sz w:val="22"/>
          <w:szCs w:val="22"/>
        </w:rPr>
      </w:pPr>
    </w:p>
    <w:p w:rsidR="003652F9" w:rsidRDefault="003652F9"/>
    <w:sectPr w:rsidR="00365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28"/>
    <w:rsid w:val="003652F9"/>
    <w:rsid w:val="009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D6F5"/>
  <w15:chartTrackingRefBased/>
  <w15:docId w15:val="{3CA16186-7E26-4DB0-9634-F162739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E28"/>
    <w:pPr>
      <w:spacing w:after="0" w:line="240" w:lineRule="auto"/>
    </w:pPr>
    <w:rPr>
      <w:rFonts w:ascii="Open Sans" w:hAnsi="Open Sans" w:cs="Open Sans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E28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5E2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-dresden.de/studium/rund-ums-studium/studieren-mit-familie" TargetMode="External"/><Relationship Id="rId5" Type="http://schemas.openxmlformats.org/officeDocument/2006/relationships/hyperlink" Target="https://tu-dresden.de/studium/rund-ums-studium/studieren-mit-beeintraechtigung" TargetMode="External"/><Relationship Id="rId4" Type="http://schemas.openxmlformats.org/officeDocument/2006/relationships/hyperlink" Target="https://tu-dresden.de/zlsb/lehramtsstudium/studienangebot/studiendokumen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Schubert</dc:creator>
  <cp:keywords/>
  <dc:description/>
  <cp:lastModifiedBy>Berit Schubert</cp:lastModifiedBy>
  <cp:revision>1</cp:revision>
  <dcterms:created xsi:type="dcterms:W3CDTF">2020-12-15T07:35:00Z</dcterms:created>
  <dcterms:modified xsi:type="dcterms:W3CDTF">2020-12-15T07:37:00Z</dcterms:modified>
</cp:coreProperties>
</file>